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Sample Scope and Sequence of Professional Learning Engagement</w:t>
      </w:r>
      <w:r w:rsidDel="00000000" w:rsidR="00000000" w:rsidRPr="00000000">
        <w:drawing>
          <wp:anchor allowOverlap="1" behindDoc="0" distB="114300" distT="114300" distL="114300" distR="114300" hidden="0" layoutInCell="1" locked="0" relativeHeight="0" simplePos="0">
            <wp:simplePos x="0" y="0"/>
            <wp:positionH relativeFrom="column">
              <wp:posOffset>-266699</wp:posOffset>
            </wp:positionH>
            <wp:positionV relativeFrom="paragraph">
              <wp:posOffset>114300</wp:posOffset>
            </wp:positionV>
            <wp:extent cx="2919413" cy="659404"/>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919413" cy="659404"/>
                    </a:xfrm>
                    <a:prstGeom prst="rect"/>
                    <a:ln/>
                  </pic:spPr>
                </pic:pic>
              </a:graphicData>
            </a:graphic>
          </wp:anchor>
        </w:drawing>
      </w:r>
    </w:p>
    <w:p w:rsidR="00000000" w:rsidDel="00000000" w:rsidP="00000000" w:rsidRDefault="00000000" w:rsidRPr="00000000" w14:paraId="00000002">
      <w:pPr>
        <w:spacing w:line="240" w:lineRule="auto"/>
        <w:jc w:val="center"/>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this document, you will provide information on a sample scope and sequence of a professional learning engagement. This engagement should represent work done with a past client.</w:t>
      </w:r>
    </w:p>
    <w:p w:rsidR="00000000" w:rsidDel="00000000" w:rsidP="00000000" w:rsidRDefault="00000000" w:rsidRPr="00000000" w14:paraId="00000004">
      <w:pPr>
        <w:spacing w:line="240" w:lineRule="auto"/>
        <w:rPr>
          <w:rFonts w:ascii="Poppins" w:cs="Poppins" w:eastAsia="Poppins" w:hAnsi="Poppins"/>
          <w:i w:val="1"/>
          <w:iCs w:val="1"/>
          <w:sz w:val="20"/>
          <w:szCs w:val="20"/>
        </w:rPr>
      </w:pPr>
      <w:r w:rsidDel="00000000" w:rsidR="00000000" w:rsidRPr="00000000">
        <w:rPr>
          <w:rtl w:val="0"/>
        </w:rPr>
      </w:r>
    </w:p>
    <w:p w:rsidR="00000000" w:rsidDel="00000000" w:rsidP="00000000" w:rsidRDefault="00000000" w:rsidRPr="00000000" w14:paraId="00000005">
      <w:pPr>
        <w:spacing w:line="240" w:lineRule="auto"/>
        <w:rPr>
          <w:rFonts w:ascii="Poppins" w:cs="Poppins" w:eastAsia="Poppins" w:hAnsi="Poppins"/>
          <w:i w:val="1"/>
          <w:iCs w:val="1"/>
          <w:sz w:val="20"/>
          <w:szCs w:val="20"/>
        </w:rPr>
      </w:pPr>
      <w:r w:rsidDel="00000000" w:rsidR="00000000" w:rsidRPr="00000000">
        <w:rPr>
          <w:rtl w:val="0"/>
        </w:rPr>
      </w:r>
    </w:p>
    <w:p w:rsidR="00000000" w:rsidDel="00000000" w:rsidP="00000000" w:rsidRDefault="00000000" w:rsidRPr="00000000" w14:paraId="00000006">
      <w:pPr>
        <w:spacing w:line="240" w:lineRule="auto"/>
        <w:jc w:val="center"/>
        <w:rPr>
          <w:rFonts w:ascii="Poppins" w:cs="Poppins" w:eastAsia="Poppins" w:hAnsi="Poppins"/>
          <w:sz w:val="20"/>
          <w:szCs w:val="20"/>
        </w:rPr>
      </w:pPr>
      <w:r w:rsidDel="00000000" w:rsidR="00000000" w:rsidRPr="00000000">
        <w:rPr>
          <w:rFonts w:ascii="Poppins SemiBold" w:cs="Poppins SemiBold" w:eastAsia="Poppins SemiBold" w:hAnsi="Poppins SemiBold"/>
          <w:color w:val="ff0000"/>
          <w:sz w:val="20"/>
          <w:szCs w:val="20"/>
          <w:rtl w:val="0"/>
        </w:rPr>
        <w:t xml:space="preserve">This overview represents the services for one client of the professional learning partner.</w:t>
      </w:r>
      <w:r w:rsidDel="00000000" w:rsidR="00000000" w:rsidRPr="00000000">
        <w:rPr>
          <w:rtl w:val="0"/>
        </w:rPr>
      </w:r>
    </w:p>
    <w:tbl>
      <w:tblPr>
        <w:tblStyle w:val="Table1"/>
        <w:tblW w:w="12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30"/>
        <w:gridCol w:w="3855"/>
        <w:gridCol w:w="1830"/>
        <w:gridCol w:w="3615"/>
        <w:tblGridChange w:id="0">
          <w:tblGrid>
            <w:gridCol w:w="3630"/>
            <w:gridCol w:w="3855"/>
            <w:gridCol w:w="1830"/>
            <w:gridCol w:w="3615"/>
          </w:tblGrid>
        </w:tblGridChange>
      </w:tblGrid>
      <w:tr>
        <w:trPr>
          <w:cantSplit w:val="0"/>
          <w:trHeight w:val="44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Curriculum or Content Area </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Secondary Mathematics</w:t>
            </w:r>
          </w:p>
        </w:tc>
      </w:tr>
      <w:tr>
        <w:trPr>
          <w:cantSplit w:val="0"/>
          <w:trHeight w:val="75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Type of Professional Learning </w:t>
            </w:r>
          </w:p>
          <w:p w:rsidR="00000000" w:rsidDel="00000000" w:rsidP="00000000" w:rsidRDefault="00000000" w:rsidRPr="00000000" w14:paraId="0000000C">
            <w:pPr>
              <w:widowControl w:val="0"/>
              <w:spacing w:line="240" w:lineRule="auto"/>
              <w:rPr>
                <w:rFonts w:ascii="Poppins" w:cs="Poppins" w:eastAsia="Poppins" w:hAnsi="Poppins"/>
                <w:sz w:val="20"/>
                <w:szCs w:val="20"/>
              </w:rPr>
            </w:pPr>
            <w:r w:rsidDel="00000000" w:rsidR="00000000" w:rsidRPr="00000000">
              <w:rPr>
                <w:rtl w:val="0"/>
              </w:rPr>
            </w:r>
          </w:p>
        </w:tc>
        <w:tc>
          <w:tcPr>
            <w:gridSpan w:val="3"/>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Adoption</w:t>
            </w:r>
          </w:p>
        </w:tc>
      </w:tr>
      <w:tr>
        <w:trPr>
          <w:cantSplit w:val="0"/>
          <w:trHeight w:val="40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Total Cost Range</w:t>
            </w:r>
            <w:r w:rsidDel="00000000" w:rsidR="00000000" w:rsidRPr="00000000">
              <w:rPr>
                <w:rFonts w:ascii="Poppins" w:cs="Poppins" w:eastAsia="Poppins" w:hAnsi="Poppins"/>
                <w:b w:val="1"/>
                <w:bCs w:val="1"/>
                <w:sz w:val="20"/>
                <w:szCs w:val="20"/>
                <w:vertAlign w:val="superscript"/>
              </w:rPr>
              <w:footnoteReference w:customMarkFollows="0" w:id="0"/>
            </w:r>
            <w:r w:rsidDel="00000000" w:rsidR="00000000" w:rsidRPr="00000000">
              <w:rPr>
                <w:rtl w:val="0"/>
              </w:rPr>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Less than $50,000</w:t>
            </w:r>
          </w:p>
          <w:p w:rsidR="00000000" w:rsidDel="00000000" w:rsidP="00000000" w:rsidRDefault="00000000" w:rsidRPr="00000000" w14:paraId="00000012">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$50,000 - $100,000</w:t>
            </w:r>
          </w:p>
          <w:p w:rsidR="00000000" w:rsidDel="00000000" w:rsidP="00000000" w:rsidRDefault="00000000" w:rsidRPr="00000000" w14:paraId="00000013">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$100,001 - $500,000</w:t>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ind w:left="720" w:hanging="360"/>
              <w:rPr>
                <w:rFonts w:ascii="Poppins" w:cs="Poppins" w:eastAsia="Poppins" w:hAnsi="Poppins"/>
                <w:sz w:val="20"/>
                <w:szCs w:val="20"/>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$500,001 - $1,000,000</w:t>
            </w:r>
          </w:p>
          <w:p w:rsidR="00000000" w:rsidDel="00000000" w:rsidP="00000000" w:rsidRDefault="00000000" w:rsidRPr="00000000" w14:paraId="00000016">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$1,000,000+</w:t>
              <w:tab/>
              <w:tab/>
              <w:tab/>
              <w:tab/>
            </w:r>
          </w:p>
        </w:tc>
      </w:tr>
      <w:tr>
        <w:trPr>
          <w:cantSplit w:val="0"/>
          <w:trHeight w:val="40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District Context</w:t>
            </w:r>
          </w:p>
        </w:tc>
        <w:tc>
          <w:tcPr>
            <w:gridSpan w:val="3"/>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Suburban School district</w:t>
            </w:r>
          </w:p>
          <w:p w:rsidR="00000000" w:rsidDel="00000000" w:rsidP="00000000" w:rsidRDefault="00000000" w:rsidRPr="00000000" w14:paraId="00000019">
            <w:pPr>
              <w:widowControl w:val="0"/>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Goal:  Adoption of new quality instructional materials for high school mathematics. </w:t>
            </w:r>
          </w:p>
        </w:tc>
      </w:tr>
    </w:tbl>
    <w:p w:rsidR="00000000" w:rsidDel="00000000" w:rsidP="00000000" w:rsidRDefault="00000000" w:rsidRPr="00000000" w14:paraId="0000001C">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D">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E">
      <w:pPr>
        <w:spacing w:line="240" w:lineRule="auto"/>
        <w:rPr>
          <w:rFonts w:ascii="Poppins" w:cs="Poppins" w:eastAsia="Poppins" w:hAnsi="Poppins"/>
          <w:sz w:val="20"/>
          <w:szCs w:val="20"/>
        </w:rPr>
      </w:pPr>
      <w:r w:rsidDel="00000000" w:rsidR="00000000" w:rsidRPr="00000000">
        <w:rPr>
          <w:rtl w:val="0"/>
        </w:rPr>
      </w:r>
    </w:p>
    <w:tbl>
      <w:tblPr>
        <w:tblStyle w:val="Table2"/>
        <w:tblW w:w="13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1950"/>
        <w:gridCol w:w="2235"/>
        <w:gridCol w:w="7155"/>
        <w:tblGridChange w:id="0">
          <w:tblGrid>
            <w:gridCol w:w="1770"/>
            <w:gridCol w:w="1950"/>
            <w:gridCol w:w="2235"/>
            <w:gridCol w:w="715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Timing </w:t>
            </w:r>
            <w:r w:rsidDel="00000000" w:rsidR="00000000" w:rsidRPr="00000000">
              <w:rPr>
                <w:rFonts w:ascii="Poppins" w:cs="Poppins" w:eastAsia="Poppins" w:hAnsi="Poppins"/>
                <w:sz w:val="20"/>
                <w:szCs w:val="20"/>
                <w:rtl w:val="0"/>
              </w:rPr>
              <w:t xml:space="preserve">(you may choose to use specific days/months or frequency)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Participants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Name of PL </w:t>
            </w:r>
            <w:r w:rsidDel="00000000" w:rsidR="00000000" w:rsidRPr="00000000">
              <w:rPr>
                <w:rFonts w:ascii="Poppins" w:cs="Poppins" w:eastAsia="Poppins" w:hAnsi="Poppins"/>
                <w:sz w:val="20"/>
                <w:szCs w:val="20"/>
                <w:rtl w:val="0"/>
              </w:rPr>
              <w:t xml:space="preserve">(either specific workshop title, coaching, etc)</w:t>
            </w:r>
            <w:r w:rsidDel="00000000" w:rsidR="00000000" w:rsidRPr="00000000">
              <w:rPr>
                <w:rFonts w:ascii="Poppins" w:cs="Poppins" w:eastAsia="Poppins" w:hAnsi="Poppins"/>
                <w:b w:val="1"/>
                <w:bCs w:val="1"/>
                <w:sz w:val="20"/>
                <w:szCs w:val="20"/>
                <w:rtl w:val="0"/>
              </w:rPr>
              <w:t xml:space="preserve"> and format</w:t>
            </w:r>
            <w:r w:rsidDel="00000000" w:rsidR="00000000" w:rsidRPr="00000000">
              <w:rPr>
                <w:rFonts w:ascii="Poppins" w:cs="Poppins" w:eastAsia="Poppins" w:hAnsi="Poppins"/>
                <w:sz w:val="20"/>
                <w:szCs w:val="20"/>
                <w:rtl w:val="0"/>
              </w:rPr>
              <w:t xml:space="preserve">( Virtual, in-person, hybrid)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September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Materials Adoption 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Math Academic Diagnostics &amp; Data Gathering</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(Hybrid)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TNTP’s math academic diagnostic services provide a clear picture of the current student experience in math by analyzing classroom instruction, student assignments, and stakeholder perspectives. This work typically includes classroom observations and assignment reviews to assess students’ access to rigorous, grade-level math content. </w:t>
            </w:r>
          </w:p>
          <w:p w:rsidR="00000000" w:rsidDel="00000000" w:rsidP="00000000" w:rsidRDefault="00000000" w:rsidRPr="00000000" w14:paraId="00000028">
            <w:pPr>
              <w:widowControl w:val="0"/>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9">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 synthesizes these findings into a concise report highlighting strengths, gaps, and patterns in instructional quality, along with actionable recommendations to improve math teaching, strengthen systems, and support more equitable outcomes for students as it relates to curriculum implementation.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October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Materials Adoption Committee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Key Components of Strong Math Instruction</w:t>
            </w:r>
          </w:p>
          <w:p w:rsidR="00000000" w:rsidDel="00000000" w:rsidP="00000000" w:rsidRDefault="00000000" w:rsidRPr="00000000" w14:paraId="0000002D">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Develop a shared understanding of high quality instruction materials. The materials adoption committee creates a list of curricular look-fors aligned with the hallmarks of strong math instruction that will guide their curriculum selection.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November - December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Materials Adoption Committee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Math Curriculum Audit</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(Hybrid)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materials adoption committee determines which curricular resources meet the requirements and expectations the materials adoption committee identified. From this audit, the materials adoption  committee selects curricular materials to pilot during the spring semester.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January - April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Materials Adoption 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Pilot of Selected Materials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(Hybrid)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Teachers within the committee pilot the identified pilot materials. With TNTP support, the district and school leaders complete rounds of observations of each set of materials. Additionally TNTP completes two rounds of surveys and focus groups about teacher and student experiences.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Materials Adoption 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Analysis of Pilot Data &amp; Stakeholder Engagement</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(Virtual)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 presents an anonymized data presentation with all collected data from the pilot. Through a guided discussion protocol, TNTP guides the materials adoption committee through the final selection of materials.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Materials Adoption Committee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Selection &amp; Procurement of Selected Materials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(Virtual)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With the support of TNTP, the materials adoption committee provides a presentation with a clear recommendation about which materials should be adopted by the district.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June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District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Implementation Planning</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(Hybrid)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After adopting the new curriculum, TNTP supports the district in developing a detailed implementation plan to ensure a strong and coherent rollout. This work focuses on analyzing system conditions, aligning vision and priorities, and engaging stakeholders to identify both enabling conditions and barriers.</w:t>
            </w:r>
          </w:p>
          <w:p w:rsidR="00000000" w:rsidDel="00000000" w:rsidP="00000000" w:rsidRDefault="00000000" w:rsidRPr="00000000" w14:paraId="0000004B">
            <w:pPr>
              <w:widowControl w:val="0"/>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4C">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 translates these insights into actionable implementation strategies, helping leaders build the systems, structures, and capacity needed to effectively launch and sustain high-quality instructional materials in classrooms.</w:t>
            </w:r>
          </w:p>
        </w:tc>
      </w:tr>
    </w:tbl>
    <w:p w:rsidR="00000000" w:rsidDel="00000000" w:rsidP="00000000" w:rsidRDefault="00000000" w:rsidRPr="00000000" w14:paraId="0000004D">
      <w:pPr>
        <w:spacing w:line="240" w:lineRule="auto"/>
        <w:rPr>
          <w:rFonts w:ascii="Poppins" w:cs="Poppins" w:eastAsia="Poppins" w:hAnsi="Poppins"/>
          <w:sz w:val="4"/>
          <w:szCs w:val="4"/>
        </w:rPr>
      </w:pPr>
      <w:r w:rsidDel="00000000" w:rsidR="00000000" w:rsidRPr="00000000">
        <w:rPr>
          <w:rtl w:val="0"/>
        </w:rPr>
      </w:r>
    </w:p>
    <w:sectPr>
      <w:headerReference r:id="rId8" w:type="default"/>
      <w:footerReference r:id="rId9"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46804" cy="247650"/>
          <wp:effectExtent b="0" l="0" r="0" t="0"/>
          <wp:wrapTopAndBottom distB="114300" distT="11430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46804" cy="247650"/>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E">
      <w:pPr>
        <w:spacing w:line="240" w:lineRule="auto"/>
        <w:rPr>
          <w:rFonts w:ascii="Poppins" w:cs="Poppins" w:eastAsia="Poppins" w:hAnsi="Poppins"/>
          <w:sz w:val="20"/>
          <w:szCs w:val="20"/>
        </w:rPr>
      </w:pPr>
      <w:r w:rsidDel="00000000" w:rsidR="00000000" w:rsidRPr="00000000">
        <w:rPr>
          <w:rStyle w:val="FootnoteReference"/>
          <w:vertAlign w:val="superscript"/>
        </w:rPr>
        <w:footnoteRef/>
      </w:r>
      <w:r w:rsidDel="00000000" w:rsidR="00000000" w:rsidRPr="00000000">
        <w:rPr>
          <w:rFonts w:ascii="Poppins" w:cs="Poppins" w:eastAsia="Poppins" w:hAnsi="Poppins"/>
          <w:sz w:val="20"/>
          <w:szCs w:val="20"/>
          <w:rtl w:val="0"/>
        </w:rPr>
        <w:t xml:space="preserve"> Includes any travel related expenses, etc.</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jc w:val="right"/>
      <w:rPr>
        <w:rFonts w:ascii="Poppins" w:cs="Poppins" w:eastAsia="Poppins" w:hAnsi="Poppins"/>
      </w:rPr>
    </w:pPr>
    <w:r w:rsidDel="00000000" w:rsidR="00000000" w:rsidRPr="00000000">
      <w:rPr>
        <w:rFonts w:ascii="Poppins" w:cs="Poppins" w:eastAsia="Poppins" w:hAnsi="Poppins"/>
      </w:rPr>
      <w:drawing>
        <wp:inline distB="114300" distT="114300" distL="114300" distR="114300">
          <wp:extent cx="1582545" cy="528638"/>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82545" cy="5286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SemiBold-regular.ttf"/><Relationship Id="rId6" Type="http://schemas.openxmlformats.org/officeDocument/2006/relationships/font" Target="fonts/PoppinsSemiBold-bold.ttf"/><Relationship Id="rId7" Type="http://schemas.openxmlformats.org/officeDocument/2006/relationships/font" Target="fonts/PoppinsSemiBold-italic.ttf"/><Relationship Id="rId8" Type="http://schemas.openxmlformats.org/officeDocument/2006/relationships/font" Target="fonts/PoppinsSemi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