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Poppins" w:cs="Poppins" w:eastAsia="Poppins" w:hAnsi="Poppins"/>
          <w:b w:val="1"/>
          <w:bCs w:val="1"/>
          <w:sz w:val="24"/>
          <w:szCs w:val="24"/>
        </w:rPr>
      </w:pPr>
      <w:r w:rsidDel="00000000" w:rsidR="00000000" w:rsidRPr="00000000">
        <w:rPr>
          <w:rFonts w:ascii="Poppins" w:cs="Poppins" w:eastAsia="Poppins" w:hAnsi="Poppins"/>
          <w:b w:val="1"/>
          <w:bCs w:val="1"/>
          <w:sz w:val="24"/>
          <w:szCs w:val="24"/>
          <w:rtl w:val="0"/>
        </w:rPr>
        <w:t xml:space="preserve">Sample Scope and Sequence of Professional Learning Engagement</w:t>
      </w:r>
      <w:r w:rsidDel="00000000" w:rsidR="00000000" w:rsidRPr="00000000">
        <w:drawing>
          <wp:anchor allowOverlap="1" behindDoc="0" distB="114300" distT="114300" distL="114300" distR="114300" hidden="0" layoutInCell="1" locked="0" relativeHeight="0" simplePos="0">
            <wp:simplePos x="0" y="0"/>
            <wp:positionH relativeFrom="column">
              <wp:posOffset>-266699</wp:posOffset>
            </wp:positionH>
            <wp:positionV relativeFrom="paragraph">
              <wp:posOffset>114300</wp:posOffset>
            </wp:positionV>
            <wp:extent cx="2919413" cy="659404"/>
            <wp:effectExtent b="0" l="0" r="0" t="0"/>
            <wp:wrapTopAndBottom distB="114300" distT="11430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919413" cy="659404"/>
                    </a:xfrm>
                    <a:prstGeom prst="rect"/>
                    <a:ln/>
                  </pic:spPr>
                </pic:pic>
              </a:graphicData>
            </a:graphic>
          </wp:anchor>
        </w:drawing>
      </w:r>
    </w:p>
    <w:p w:rsidR="00000000" w:rsidDel="00000000" w:rsidP="00000000" w:rsidRDefault="00000000" w:rsidRPr="00000000" w14:paraId="00000002">
      <w:pPr>
        <w:spacing w:line="240" w:lineRule="auto"/>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03">
      <w:pPr>
        <w:spacing w:line="240" w:lineRule="auto"/>
        <w:jc w:val="center"/>
        <w:rPr>
          <w:rFonts w:ascii="Poppins" w:cs="Poppins" w:eastAsia="Poppins" w:hAnsi="Poppins"/>
          <w:sz w:val="20"/>
          <w:szCs w:val="20"/>
        </w:rPr>
      </w:pPr>
      <w:r w:rsidDel="00000000" w:rsidR="00000000" w:rsidRPr="00000000">
        <w:rPr>
          <w:rFonts w:ascii="Poppins SemiBold" w:cs="Poppins SemiBold" w:eastAsia="Poppins SemiBold" w:hAnsi="Poppins SemiBold"/>
          <w:color w:val="ff0000"/>
          <w:sz w:val="20"/>
          <w:szCs w:val="20"/>
          <w:rtl w:val="0"/>
        </w:rPr>
        <w:t xml:space="preserve">This overview represents the services for one client of the professional learning partner.</w:t>
      </w:r>
      <w:r w:rsidDel="00000000" w:rsidR="00000000" w:rsidRPr="00000000">
        <w:rPr>
          <w:rtl w:val="0"/>
        </w:rPr>
      </w:r>
    </w:p>
    <w:tbl>
      <w:tblPr>
        <w:tblStyle w:val="Table1"/>
        <w:tblW w:w="129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30"/>
        <w:gridCol w:w="3855"/>
        <w:gridCol w:w="1830"/>
        <w:gridCol w:w="3615"/>
        <w:tblGridChange w:id="0">
          <w:tblGrid>
            <w:gridCol w:w="3630"/>
            <w:gridCol w:w="3855"/>
            <w:gridCol w:w="1830"/>
            <w:gridCol w:w="3615"/>
          </w:tblGrid>
        </w:tblGridChange>
      </w:tblGrid>
      <w:tr>
        <w:trPr>
          <w:cantSplit w:val="0"/>
          <w:trHeight w:val="44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04">
            <w:pPr>
              <w:widowControl w:val="0"/>
              <w:spacing w:line="240" w:lineRule="auto"/>
              <w:rPr>
                <w:rFonts w:ascii="Poppins" w:cs="Poppins" w:eastAsia="Poppins" w:hAnsi="Poppins"/>
                <w:sz w:val="20"/>
                <w:szCs w:val="20"/>
              </w:rPr>
            </w:pPr>
            <w:r w:rsidDel="00000000" w:rsidR="00000000" w:rsidRPr="00000000">
              <w:rPr>
                <w:rFonts w:ascii="Poppins" w:cs="Poppins" w:eastAsia="Poppins" w:hAnsi="Poppins"/>
                <w:b w:val="1"/>
                <w:bCs w:val="1"/>
                <w:sz w:val="20"/>
                <w:szCs w:val="20"/>
                <w:rtl w:val="0"/>
              </w:rPr>
              <w:t xml:space="preserve">Curriculum or Content Area </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spacing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Mathematics</w:t>
            </w:r>
            <w:r w:rsidDel="00000000" w:rsidR="00000000" w:rsidRPr="00000000">
              <w:rPr>
                <w:rFonts w:ascii="Poppins" w:cs="Poppins" w:eastAsia="Poppins" w:hAnsi="Poppins"/>
                <w:sz w:val="20"/>
                <w:szCs w:val="20"/>
                <w:rtl w:val="0"/>
              </w:rPr>
              <w:t xml:space="preserve"> - Curriculum Associates</w:t>
            </w:r>
            <w:r w:rsidDel="00000000" w:rsidR="00000000" w:rsidRPr="00000000">
              <w:rPr>
                <w:rFonts w:ascii="Poppins" w:cs="Poppins" w:eastAsia="Poppins" w:hAnsi="Poppins"/>
                <w:i w:val="1"/>
                <w:iCs w:val="1"/>
                <w:sz w:val="20"/>
                <w:szCs w:val="20"/>
                <w:rtl w:val="0"/>
              </w:rPr>
              <w:t xml:space="preserve"> i-Ready Classroom Mathematics</w:t>
            </w:r>
            <w:r w:rsidDel="00000000" w:rsidR="00000000" w:rsidRPr="00000000">
              <w:rPr>
                <w:rtl w:val="0"/>
              </w:rPr>
            </w:r>
          </w:p>
        </w:tc>
      </w:tr>
      <w:tr>
        <w:trPr>
          <w:cantSplit w:val="0"/>
          <w:trHeight w:val="550.0000000000002"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rPr>
                <w:rFonts w:ascii="Poppins" w:cs="Poppins" w:eastAsia="Poppins" w:hAnsi="Poppins"/>
                <w:sz w:val="20"/>
                <w:szCs w:val="20"/>
              </w:rPr>
            </w:pPr>
            <w:r w:rsidDel="00000000" w:rsidR="00000000" w:rsidRPr="00000000">
              <w:rPr>
                <w:rFonts w:ascii="Poppins" w:cs="Poppins" w:eastAsia="Poppins" w:hAnsi="Poppins"/>
                <w:b w:val="1"/>
                <w:bCs w:val="1"/>
                <w:sz w:val="20"/>
                <w:szCs w:val="20"/>
                <w:rtl w:val="0"/>
              </w:rPr>
              <w:t xml:space="preserve">Type of Professional Learning </w:t>
            </w:r>
            <w:r w:rsidDel="00000000" w:rsidR="00000000" w:rsidRPr="00000000">
              <w:rPr>
                <w:rtl w:val="0"/>
              </w:rPr>
            </w:r>
          </w:p>
        </w:tc>
        <w:tc>
          <w:tcPr>
            <w:gridSpan w:val="3"/>
            <w:tcBorders>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Initial Implementation</w:t>
            </w:r>
          </w:p>
        </w:tc>
      </w:tr>
      <w:tr>
        <w:trPr>
          <w:cantSplit w:val="0"/>
          <w:trHeight w:val="40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Total Cost Range</w:t>
            </w:r>
            <w:r w:rsidDel="00000000" w:rsidR="00000000" w:rsidRPr="00000000">
              <w:rPr>
                <w:rFonts w:ascii="Poppins" w:cs="Poppins" w:eastAsia="Poppins" w:hAnsi="Poppins"/>
                <w:b w:val="1"/>
                <w:bCs w:val="1"/>
                <w:sz w:val="20"/>
                <w:szCs w:val="20"/>
                <w:vertAlign w:val="superscript"/>
              </w:rPr>
              <w:footnoteReference w:customMarkFollows="0" w:id="0"/>
            </w:r>
            <w:r w:rsidDel="00000000" w:rsidR="00000000" w:rsidRPr="00000000">
              <w:rPr>
                <w:rtl w:val="0"/>
              </w:rPr>
            </w:r>
          </w:p>
        </w:tc>
        <w:tc>
          <w:tcPr>
            <w:tcBorders>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numPr>
                <w:ilvl w:val="0"/>
                <w:numId w:val="1"/>
              </w:numPr>
              <w:spacing w:line="240" w:lineRule="auto"/>
              <w:ind w:left="72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Less than $50,000</w:t>
            </w:r>
          </w:p>
          <w:p w:rsidR="00000000" w:rsidDel="00000000" w:rsidP="00000000" w:rsidRDefault="00000000" w:rsidRPr="00000000" w14:paraId="0000000E">
            <w:pPr>
              <w:widowControl w:val="0"/>
              <w:numPr>
                <w:ilvl w:val="0"/>
                <w:numId w:val="1"/>
              </w:numPr>
              <w:spacing w:line="240" w:lineRule="auto"/>
              <w:ind w:left="72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$50,000 - $100,000</w:t>
            </w:r>
          </w:p>
          <w:p w:rsidR="00000000" w:rsidDel="00000000" w:rsidP="00000000" w:rsidRDefault="00000000" w:rsidRPr="00000000" w14:paraId="0000000F">
            <w:pPr>
              <w:widowControl w:val="0"/>
              <w:numPr>
                <w:ilvl w:val="0"/>
                <w:numId w:val="1"/>
              </w:numPr>
              <w:spacing w:line="240" w:lineRule="auto"/>
              <w:ind w:left="72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$100,001 - $500,000</w:t>
            </w:r>
          </w:p>
        </w:tc>
        <w:tc>
          <w:tcPr>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ind w:left="720" w:hanging="360"/>
              <w:rPr>
                <w:rFonts w:ascii="Poppins" w:cs="Poppins" w:eastAsia="Poppins" w:hAnsi="Poppins"/>
                <w:sz w:val="20"/>
                <w:szCs w:val="20"/>
              </w:rPr>
            </w:pPr>
            <w:r w:rsidDel="00000000" w:rsidR="00000000" w:rsidRPr="00000000">
              <w:rPr>
                <w:rtl w:val="0"/>
              </w:rPr>
            </w:r>
          </w:p>
        </w:tc>
        <w:tc>
          <w:tcPr>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numPr>
                <w:ilvl w:val="0"/>
                <w:numId w:val="1"/>
              </w:numPr>
              <w:spacing w:line="240" w:lineRule="auto"/>
              <w:ind w:left="72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$500,001 - $1,000,000</w:t>
            </w:r>
          </w:p>
          <w:p w:rsidR="00000000" w:rsidDel="00000000" w:rsidP="00000000" w:rsidRDefault="00000000" w:rsidRPr="00000000" w14:paraId="00000012">
            <w:pPr>
              <w:widowControl w:val="0"/>
              <w:numPr>
                <w:ilvl w:val="0"/>
                <w:numId w:val="1"/>
              </w:numPr>
              <w:spacing w:line="240" w:lineRule="auto"/>
              <w:ind w:left="72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$1,000,000+</w:t>
              <w:tab/>
              <w:tab/>
              <w:tab/>
              <w:tab/>
            </w:r>
          </w:p>
        </w:tc>
      </w:tr>
      <w:tr>
        <w:trPr>
          <w:cantSplit w:val="0"/>
          <w:trHeight w:val="40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District Context</w:t>
            </w:r>
          </w:p>
        </w:tc>
        <w:tc>
          <w:tcPr>
            <w:gridSpan w:val="3"/>
            <w:tcBorders>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ind w:left="0" w:firstLine="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U</w:t>
            </w:r>
            <w:r w:rsidDel="00000000" w:rsidR="00000000" w:rsidRPr="00000000">
              <w:rPr>
                <w:rFonts w:ascii="Poppins" w:cs="Poppins" w:eastAsia="Poppins" w:hAnsi="Poppins"/>
                <w:sz w:val="20"/>
                <w:szCs w:val="20"/>
                <w:rtl w:val="0"/>
              </w:rPr>
              <w:t xml:space="preserve">rban</w:t>
            </w:r>
            <w:r w:rsidDel="00000000" w:rsidR="00000000" w:rsidRPr="00000000">
              <w:rPr>
                <w:rFonts w:ascii="Poppins" w:cs="Poppins" w:eastAsia="Poppins" w:hAnsi="Poppins"/>
                <w:sz w:val="20"/>
                <w:szCs w:val="20"/>
                <w:rtl w:val="0"/>
              </w:rPr>
              <w:t xml:space="preserve"> school district with 23 schools and approximately 8,000 students. </w:t>
            </w:r>
          </w:p>
          <w:p w:rsidR="00000000" w:rsidDel="00000000" w:rsidP="00000000" w:rsidRDefault="00000000" w:rsidRPr="00000000" w14:paraId="00000015">
            <w:pPr>
              <w:widowControl w:val="0"/>
              <w:spacing w:line="240" w:lineRule="auto"/>
              <w:ind w:left="0" w:firstLine="0"/>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16">
            <w:pPr>
              <w:widowControl w:val="0"/>
              <w:spacing w:line="240" w:lineRule="auto"/>
              <w:ind w:left="0" w:firstLine="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Goal: Support district and school leaders during early states of implementing </w:t>
            </w:r>
            <w:r w:rsidDel="00000000" w:rsidR="00000000" w:rsidRPr="00000000">
              <w:rPr>
                <w:rFonts w:ascii="Poppins" w:cs="Poppins" w:eastAsia="Poppins" w:hAnsi="Poppins"/>
                <w:i w:val="1"/>
                <w:iCs w:val="1"/>
                <w:sz w:val="20"/>
                <w:szCs w:val="20"/>
                <w:rtl w:val="0"/>
              </w:rPr>
              <w:t xml:space="preserve">i-Ready Classroom Mathematics.</w:t>
            </w:r>
            <w:r w:rsidDel="00000000" w:rsidR="00000000" w:rsidRPr="00000000">
              <w:rPr>
                <w:rFonts w:ascii="Poppins" w:cs="Poppins" w:eastAsia="Poppins" w:hAnsi="Poppins"/>
                <w:sz w:val="20"/>
                <w:szCs w:val="20"/>
                <w:rtl w:val="0"/>
              </w:rPr>
              <w:t xml:space="preserve"> </w:t>
            </w:r>
            <w:r w:rsidDel="00000000" w:rsidR="00000000" w:rsidRPr="00000000">
              <w:rPr>
                <w:rFonts w:ascii="Poppins" w:cs="Poppins" w:eastAsia="Poppins" w:hAnsi="Poppins"/>
                <w:sz w:val="20"/>
                <w:szCs w:val="20"/>
                <w:rtl w:val="0"/>
              </w:rPr>
              <w:t xml:space="preserve">District-level support focused on diagnosing implementation strengths and barriers in the district’s existing systems and policies and leading the district through strategic planning for implementation. School-level support focused on school leaders’ role in managing effective implementation in their buildings through curriculum-focused systems and structures.</w:t>
            </w:r>
          </w:p>
        </w:tc>
      </w:tr>
    </w:tbl>
    <w:p w:rsidR="00000000" w:rsidDel="00000000" w:rsidP="00000000" w:rsidRDefault="00000000" w:rsidRPr="00000000" w14:paraId="00000019">
      <w:pPr>
        <w:spacing w:line="240"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Sample Scope and Sequence</w:t>
      </w:r>
    </w:p>
    <w:tbl>
      <w:tblPr>
        <w:tblStyle w:val="Table2"/>
        <w:tblW w:w="1311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35"/>
        <w:gridCol w:w="1620"/>
        <w:gridCol w:w="2526.666666666668"/>
        <w:gridCol w:w="7628.333333333332"/>
        <w:tblGridChange w:id="0">
          <w:tblGrid>
            <w:gridCol w:w="1335"/>
            <w:gridCol w:w="1620"/>
            <w:gridCol w:w="2526.666666666668"/>
            <w:gridCol w:w="7628.333333333332"/>
          </w:tblGrid>
        </w:tblGridChange>
      </w:tblGrid>
      <w:tr>
        <w:trPr>
          <w:cantSplit w:val="0"/>
          <w:trHeight w:val="705"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jc w:val="center"/>
              <w:rPr>
                <w:rFonts w:ascii="Poppins" w:cs="Poppins" w:eastAsia="Poppins" w:hAnsi="Poppins"/>
                <w:sz w:val="20"/>
                <w:szCs w:val="20"/>
              </w:rPr>
            </w:pPr>
            <w:r w:rsidDel="00000000" w:rsidR="00000000" w:rsidRPr="00000000">
              <w:rPr>
                <w:rFonts w:ascii="Poppins" w:cs="Poppins" w:eastAsia="Poppins" w:hAnsi="Poppins"/>
                <w:b w:val="1"/>
                <w:bCs w:val="1"/>
                <w:sz w:val="20"/>
                <w:szCs w:val="20"/>
                <w:rtl w:val="0"/>
              </w:rPr>
              <w:t xml:space="preserve">Timing</w:t>
            </w:r>
            <w:r w:rsidDel="00000000" w:rsidR="00000000" w:rsidRPr="00000000">
              <w:rPr>
                <w:rtl w:val="0"/>
              </w:rPr>
            </w:r>
          </w:p>
        </w:tc>
        <w:tc>
          <w:tcPr>
            <w:shd w:fill="d9d9d9"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jc w:val="center"/>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Participants</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jc w:val="center"/>
              <w:rPr>
                <w:rFonts w:ascii="Poppins" w:cs="Poppins" w:eastAsia="Poppins" w:hAnsi="Poppins"/>
                <w:sz w:val="20"/>
                <w:szCs w:val="20"/>
              </w:rPr>
            </w:pPr>
            <w:r w:rsidDel="00000000" w:rsidR="00000000" w:rsidRPr="00000000">
              <w:rPr>
                <w:rFonts w:ascii="Poppins" w:cs="Poppins" w:eastAsia="Poppins" w:hAnsi="Poppins"/>
                <w:b w:val="1"/>
                <w:bCs w:val="1"/>
                <w:sz w:val="20"/>
                <w:szCs w:val="20"/>
                <w:rtl w:val="0"/>
              </w:rPr>
              <w:t xml:space="preserve">Name of PL and format</w:t>
            </w:r>
            <w:r w:rsidDel="00000000" w:rsidR="00000000" w:rsidRPr="00000000">
              <w:rPr>
                <w:rtl w:val="0"/>
              </w:rPr>
            </w:r>
          </w:p>
        </w:tc>
        <w:tc>
          <w:tcPr>
            <w:shd w:fill="d9d9d9"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jc w:val="center"/>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Description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Late Spring</w:t>
            </w:r>
          </w:p>
          <w:p w:rsidR="00000000" w:rsidDel="00000000" w:rsidP="00000000" w:rsidRDefault="00000000" w:rsidRPr="00000000" w14:paraId="0000001F">
            <w:pPr>
              <w:widowControl w:val="0"/>
              <w:spacing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(4 weeks)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District Math Leaders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HQIM Implementation </w:t>
            </w:r>
          </w:p>
          <w:p w:rsidR="00000000" w:rsidDel="00000000" w:rsidP="00000000" w:rsidRDefault="00000000" w:rsidRPr="00000000" w14:paraId="00000022">
            <w:pPr>
              <w:widowControl w:val="0"/>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Readiness Assessment </w:t>
            </w:r>
          </w:p>
          <w:p w:rsidR="00000000" w:rsidDel="00000000" w:rsidP="00000000" w:rsidRDefault="00000000" w:rsidRPr="00000000" w14:paraId="00000023">
            <w:pPr>
              <w:widowControl w:val="0"/>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(Virtual)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pBdr>
                <w:top w:color="auto" w:space="0" w:sz="0" w:val="none"/>
                <w:bottom w:color="auto" w:space="0" w:sz="0" w:val="none"/>
                <w:right w:color="auto" w:space="0" w:sz="0" w:val="none"/>
                <w:between w:color="auto" w:space="0" w:sz="0" w:val="none"/>
              </w:pBdr>
              <w:spacing w:line="240" w:lineRule="auto"/>
              <w:ind w:left="0" w:firstLine="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The readiness assessment consists of a district-level self-assessment of the conditions and systems related to effective HQIM implementation (e.g., vision of excellent math instruction and professional learning plans), review of supporting documentation and data, and school leader interviews and teacher focus groups to gauge expertise and buy-in. </w:t>
            </w:r>
          </w:p>
          <w:p w:rsidR="00000000" w:rsidDel="00000000" w:rsidP="00000000" w:rsidRDefault="00000000" w:rsidRPr="00000000" w14:paraId="00000025">
            <w:pPr>
              <w:pBdr>
                <w:top w:color="auto" w:space="0" w:sz="0" w:val="none"/>
                <w:bottom w:color="auto" w:space="0" w:sz="0" w:val="none"/>
                <w:right w:color="auto" w:space="0" w:sz="0" w:val="none"/>
                <w:between w:color="auto" w:space="0" w:sz="0" w:val="none"/>
              </w:pBdr>
              <w:spacing w:line="240" w:lineRule="auto"/>
              <w:ind w:left="0" w:firstLine="0"/>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26">
            <w:pPr>
              <w:pBdr>
                <w:top w:color="auto" w:space="0" w:sz="0" w:val="none"/>
                <w:bottom w:color="auto" w:space="0" w:sz="0" w:val="none"/>
                <w:right w:color="auto" w:space="0" w:sz="0" w:val="none"/>
                <w:between w:color="auto" w:space="0" w:sz="0" w:val="none"/>
              </w:pBdr>
              <w:spacing w:line="240" w:lineRule="auto"/>
              <w:ind w:left="0" w:firstLine="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TNTP provides a final report summarizing the findings of conditions that were supportive of effective implementation and potential barriers to effective implementation that should be addressed during implementation and sustainability strategic planning.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Summer </w:t>
            </w:r>
          </w:p>
          <w:p w:rsidR="00000000" w:rsidDel="00000000" w:rsidP="00000000" w:rsidRDefault="00000000" w:rsidRPr="00000000" w14:paraId="00000028">
            <w:pPr>
              <w:widowControl w:val="0"/>
              <w:spacing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(2 days)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District Math Leaders</w:t>
            </w:r>
          </w:p>
          <w:p w:rsidR="00000000" w:rsidDel="00000000" w:rsidP="00000000" w:rsidRDefault="00000000" w:rsidRPr="00000000" w14:paraId="0000002A">
            <w:pPr>
              <w:widowControl w:val="0"/>
              <w:spacing w:line="240" w:lineRule="auto"/>
              <w:rPr>
                <w:rFonts w:ascii="Poppins" w:cs="Poppins" w:eastAsia="Poppins" w:hAnsi="Poppi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Implementation and Sustainability Planning </w:t>
            </w:r>
          </w:p>
          <w:p w:rsidR="00000000" w:rsidDel="00000000" w:rsidP="00000000" w:rsidRDefault="00000000" w:rsidRPr="00000000" w14:paraId="0000002C">
            <w:pPr>
              <w:widowControl w:val="0"/>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(In Person)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pBdr>
                <w:top w:color="auto" w:space="0" w:sz="0" w:val="none"/>
                <w:bottom w:color="auto" w:space="0" w:sz="0" w:val="none"/>
                <w:right w:color="auto" w:space="0" w:sz="0" w:val="none"/>
                <w:between w:color="auto" w:space="0" w:sz="0" w:val="none"/>
              </w:pBdr>
              <w:spacing w:line="240" w:lineRule="auto"/>
              <w:ind w:left="0" w:firstLine="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Based on the Readiness Assesment findings and recommendations from, TNTP facilitate a two-day retreat with district math leaders to create a multi-year implementation and sustainability plan including the following components:</w:t>
            </w:r>
          </w:p>
          <w:p w:rsidR="00000000" w:rsidDel="00000000" w:rsidP="00000000" w:rsidRDefault="00000000" w:rsidRPr="00000000" w14:paraId="0000002E">
            <w:pPr>
              <w:numPr>
                <w:ilvl w:val="0"/>
                <w:numId w:val="3"/>
              </w:numPr>
              <w:pBdr>
                <w:top w:color="auto" w:space="0" w:sz="0" w:val="none"/>
                <w:bottom w:color="auto" w:space="0" w:sz="0" w:val="none"/>
                <w:right w:color="auto" w:space="0" w:sz="0" w:val="none"/>
                <w:between w:color="auto" w:space="0" w:sz="0" w:val="none"/>
              </w:pBdr>
              <w:spacing w:line="240" w:lineRule="auto"/>
              <w:ind w:left="72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District and school implementation team roles and responsibilities and meeting/communication structures</w:t>
            </w:r>
          </w:p>
          <w:p w:rsidR="00000000" w:rsidDel="00000000" w:rsidP="00000000" w:rsidRDefault="00000000" w:rsidRPr="00000000" w14:paraId="0000002F">
            <w:pPr>
              <w:numPr>
                <w:ilvl w:val="0"/>
                <w:numId w:val="3"/>
              </w:numPr>
              <w:pBdr>
                <w:top w:color="auto" w:space="0" w:sz="0" w:val="none"/>
                <w:bottom w:color="auto" w:space="0" w:sz="0" w:val="none"/>
                <w:right w:color="auto" w:space="0" w:sz="0" w:val="none"/>
                <w:between w:color="auto" w:space="0" w:sz="0" w:val="none"/>
              </w:pBdr>
              <w:spacing w:line="240" w:lineRule="auto"/>
              <w:ind w:left="72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Defined math program guidelines, including expectations for coherent curriculum use and assessment across all types of math instruction and any resulting necessary operational changes</w:t>
            </w:r>
          </w:p>
          <w:p w:rsidR="00000000" w:rsidDel="00000000" w:rsidP="00000000" w:rsidRDefault="00000000" w:rsidRPr="00000000" w14:paraId="00000030">
            <w:pPr>
              <w:numPr>
                <w:ilvl w:val="0"/>
                <w:numId w:val="3"/>
              </w:numPr>
              <w:pBdr>
                <w:top w:color="auto" w:space="0" w:sz="0" w:val="none"/>
                <w:bottom w:color="auto" w:space="0" w:sz="0" w:val="none"/>
                <w:right w:color="auto" w:space="0" w:sz="0" w:val="none"/>
                <w:between w:color="auto" w:space="0" w:sz="0" w:val="none"/>
              </w:pBdr>
              <w:spacing w:line="240" w:lineRule="auto"/>
              <w:ind w:left="72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Instructional leader and teacher support and development plans</w:t>
            </w:r>
          </w:p>
          <w:p w:rsidR="00000000" w:rsidDel="00000000" w:rsidP="00000000" w:rsidRDefault="00000000" w:rsidRPr="00000000" w14:paraId="00000031">
            <w:pPr>
              <w:numPr>
                <w:ilvl w:val="0"/>
                <w:numId w:val="3"/>
              </w:numPr>
              <w:pBdr>
                <w:top w:color="auto" w:space="0" w:sz="0" w:val="none"/>
                <w:bottom w:color="auto" w:space="0" w:sz="0" w:val="none"/>
                <w:right w:color="auto" w:space="0" w:sz="0" w:val="none"/>
                <w:between w:color="auto" w:space="0" w:sz="0" w:val="none"/>
              </w:pBdr>
              <w:spacing w:line="240" w:lineRule="auto"/>
              <w:ind w:left="72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Implementation goals and progress monitoring plans</w:t>
            </w:r>
          </w:p>
          <w:p w:rsidR="00000000" w:rsidDel="00000000" w:rsidP="00000000" w:rsidRDefault="00000000" w:rsidRPr="00000000" w14:paraId="00000032">
            <w:pPr>
              <w:numPr>
                <w:ilvl w:val="0"/>
                <w:numId w:val="3"/>
              </w:numPr>
              <w:pBdr>
                <w:top w:color="auto" w:space="0" w:sz="0" w:val="none"/>
                <w:bottom w:color="auto" w:space="0" w:sz="0" w:val="none"/>
                <w:right w:color="auto" w:space="0" w:sz="0" w:val="none"/>
                <w:between w:color="auto" w:space="0" w:sz="0" w:val="none"/>
              </w:pBdr>
              <w:spacing w:line="240" w:lineRule="auto"/>
              <w:ind w:left="72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Strategies for stakeholder engagement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Summer</w:t>
            </w:r>
          </w:p>
          <w:p w:rsidR="00000000" w:rsidDel="00000000" w:rsidP="00000000" w:rsidRDefault="00000000" w:rsidRPr="00000000" w14:paraId="00000034">
            <w:pPr>
              <w:widowControl w:val="0"/>
              <w:spacing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(2 days)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School Leaders and Instructional Leaders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Math HQIM Implementation </w:t>
            </w:r>
          </w:p>
          <w:p w:rsidR="00000000" w:rsidDel="00000000" w:rsidP="00000000" w:rsidRDefault="00000000" w:rsidRPr="00000000" w14:paraId="00000037">
            <w:pPr>
              <w:widowControl w:val="0"/>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Leadership Institute</w:t>
            </w:r>
          </w:p>
          <w:p w:rsidR="00000000" w:rsidDel="00000000" w:rsidP="00000000" w:rsidRDefault="00000000" w:rsidRPr="00000000" w14:paraId="00000038">
            <w:pPr>
              <w:widowControl w:val="0"/>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(In Person)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TNTP facilitates a two-day math implementation leadership institute with school leaders (e.g., principals, school-based coaches) in the summer before year one of implementation to deepen leaders’ knowledge and skill in supporting effective math HQIM implementation in their buildings. Topics included:</w:t>
            </w:r>
          </w:p>
          <w:p w:rsidR="00000000" w:rsidDel="00000000" w:rsidP="00000000" w:rsidRDefault="00000000" w:rsidRPr="00000000" w14:paraId="0000003A">
            <w:pPr>
              <w:widowControl w:val="0"/>
              <w:numPr>
                <w:ilvl w:val="0"/>
                <w:numId w:val="2"/>
              </w:numPr>
              <w:spacing w:line="240" w:lineRule="auto"/>
              <w:ind w:left="72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Vision of strong math instruction and how the adopted curriculum is aligned with that vision</w:t>
            </w:r>
          </w:p>
          <w:p w:rsidR="00000000" w:rsidDel="00000000" w:rsidP="00000000" w:rsidRDefault="00000000" w:rsidRPr="00000000" w14:paraId="0000003B">
            <w:pPr>
              <w:widowControl w:val="0"/>
              <w:numPr>
                <w:ilvl w:val="0"/>
                <w:numId w:val="2"/>
              </w:numPr>
              <w:spacing w:line="240" w:lineRule="auto"/>
              <w:ind w:left="72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Implementation as a change management initiative and building investment with stakeholders</w:t>
            </w:r>
          </w:p>
          <w:p w:rsidR="00000000" w:rsidDel="00000000" w:rsidP="00000000" w:rsidRDefault="00000000" w:rsidRPr="00000000" w14:paraId="0000003C">
            <w:pPr>
              <w:widowControl w:val="0"/>
              <w:numPr>
                <w:ilvl w:val="0"/>
                <w:numId w:val="2"/>
              </w:numPr>
              <w:spacing w:line="240" w:lineRule="auto"/>
              <w:ind w:left="72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Implementation priorities, goals, and progress monitoring</w:t>
            </w:r>
          </w:p>
          <w:p w:rsidR="00000000" w:rsidDel="00000000" w:rsidP="00000000" w:rsidRDefault="00000000" w:rsidRPr="00000000" w14:paraId="0000003D">
            <w:pPr>
              <w:widowControl w:val="0"/>
              <w:numPr>
                <w:ilvl w:val="0"/>
                <w:numId w:val="2"/>
              </w:numPr>
              <w:spacing w:line="240" w:lineRule="auto"/>
              <w:ind w:left="72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School-level systems and structures that support effective implementation</w:t>
            </w:r>
          </w:p>
          <w:p w:rsidR="00000000" w:rsidDel="00000000" w:rsidP="00000000" w:rsidRDefault="00000000" w:rsidRPr="00000000" w14:paraId="0000003E">
            <w:pPr>
              <w:widowControl w:val="0"/>
              <w:numPr>
                <w:ilvl w:val="0"/>
                <w:numId w:val="2"/>
              </w:numPr>
              <w:spacing w:line="240" w:lineRule="auto"/>
              <w:ind w:left="72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Curriculum-specific resources related to teacher support (e.g., observation and planning tools)</w:t>
            </w:r>
          </w:p>
          <w:p w:rsidR="00000000" w:rsidDel="00000000" w:rsidP="00000000" w:rsidRDefault="00000000" w:rsidRPr="00000000" w14:paraId="0000003F">
            <w:pPr>
              <w:widowControl w:val="0"/>
              <w:spacing w:line="240" w:lineRule="auto"/>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40">
            <w:pPr>
              <w:widowControl w:val="0"/>
              <w:spacing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Throughout the institute, leaders have multiple opportunities to practice key skills and to draft components of an implementation plan for their buildings.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School Year</w:t>
            </w:r>
          </w:p>
          <w:p w:rsidR="00000000" w:rsidDel="00000000" w:rsidP="00000000" w:rsidRDefault="00000000" w:rsidRPr="00000000" w14:paraId="00000042">
            <w:pPr>
              <w:widowControl w:val="0"/>
              <w:spacing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(Biweekly)</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District Math Leaders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Ongoing District </w:t>
            </w:r>
          </w:p>
          <w:p w:rsidR="00000000" w:rsidDel="00000000" w:rsidP="00000000" w:rsidRDefault="00000000" w:rsidRPr="00000000" w14:paraId="00000045">
            <w:pPr>
              <w:widowControl w:val="0"/>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Implementation Advising </w:t>
            </w:r>
          </w:p>
          <w:p w:rsidR="00000000" w:rsidDel="00000000" w:rsidP="00000000" w:rsidRDefault="00000000" w:rsidRPr="00000000" w14:paraId="00000046">
            <w:pPr>
              <w:widowControl w:val="0"/>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(Virtual)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TNTP facilitates biweekly 60-minute check-ins with the district math leads during the school year to review progress towards the district implementation plan, make any adjustments needed, and plan for upcoming support.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School Year</w:t>
            </w:r>
          </w:p>
          <w:p w:rsidR="00000000" w:rsidDel="00000000" w:rsidP="00000000" w:rsidRDefault="00000000" w:rsidRPr="00000000" w14:paraId="00000049">
            <w:pPr>
              <w:widowControl w:val="0"/>
              <w:spacing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(Quarterly)</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District Math Leaders; School Leaders and Instructional Leaders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School Year Site Visits </w:t>
            </w:r>
          </w:p>
          <w:p w:rsidR="00000000" w:rsidDel="00000000" w:rsidP="00000000" w:rsidRDefault="00000000" w:rsidRPr="00000000" w14:paraId="0000004C">
            <w:pPr>
              <w:widowControl w:val="0"/>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(In Person)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TNTP conducts site visits each quarter to engage in side-by-side walkthroughs of math classrooms with district leaders and school leaders, to assess quality of math instruction and fidelity of HQIM implementation. The site visits inform ongoing planning and support and support ongoing learning for leaders of curriculum and curriculum-specific observation tools to support effective feedback and development for teachers.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School Year (Monthly)</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K-5 School Leaders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Individual Coaching</w:t>
            </w:r>
          </w:p>
          <w:p w:rsidR="00000000" w:rsidDel="00000000" w:rsidP="00000000" w:rsidRDefault="00000000" w:rsidRPr="00000000" w14:paraId="00000051">
            <w:pPr>
              <w:widowControl w:val="0"/>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(Virtual)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TNTP meets with elementary school leaders monthly during the school year to provide site specific implementation coaching. The coaching focus varies for each school depending on context, but is closely tied to the topics from the summer leadership institute and each of the schools specific implementation plans.</w:t>
            </w:r>
          </w:p>
        </w:tc>
      </w:tr>
    </w:tbl>
    <w:p w:rsidR="00000000" w:rsidDel="00000000" w:rsidP="00000000" w:rsidRDefault="00000000" w:rsidRPr="00000000" w14:paraId="00000053">
      <w:pPr>
        <w:spacing w:line="240" w:lineRule="auto"/>
        <w:rPr/>
      </w:pPr>
      <w:r w:rsidDel="00000000" w:rsidR="00000000" w:rsidRPr="00000000">
        <w:rPr>
          <w:rtl w:val="0"/>
        </w:rPr>
      </w:r>
    </w:p>
    <w:sectPr>
      <w:headerReference r:id="rId8" w:type="default"/>
      <w:footerReference r:id="rId9" w:type="default"/>
      <w:pgSz w:h="12240" w:w="15840"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SemiBol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646804" cy="247650"/>
          <wp:effectExtent b="0" l="0" r="0" t="0"/>
          <wp:wrapTopAndBottom distB="114300" distT="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46804" cy="247650"/>
                  </a:xfrm>
                  <a:prstGeom prst="rect"/>
                  <a:ln/>
                </pic:spPr>
              </pic:pic>
            </a:graphicData>
          </a:graphic>
        </wp:anchor>
      </w:drawing>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56">
      <w:pPr>
        <w:spacing w:line="240" w:lineRule="auto"/>
        <w:rPr>
          <w:rFonts w:ascii="Poppins" w:cs="Poppins" w:eastAsia="Poppins" w:hAnsi="Poppins"/>
          <w:sz w:val="20"/>
          <w:szCs w:val="20"/>
        </w:rPr>
      </w:pPr>
      <w:r w:rsidDel="00000000" w:rsidR="00000000" w:rsidRPr="00000000">
        <w:rPr>
          <w:rStyle w:val="FootnoteReference"/>
          <w:vertAlign w:val="superscript"/>
        </w:rPr>
        <w:footnoteRef/>
      </w:r>
      <w:r w:rsidDel="00000000" w:rsidR="00000000" w:rsidRPr="00000000">
        <w:rPr>
          <w:rFonts w:ascii="Poppins" w:cs="Poppins" w:eastAsia="Poppins" w:hAnsi="Poppins"/>
          <w:sz w:val="20"/>
          <w:szCs w:val="20"/>
          <w:rtl w:val="0"/>
        </w:rPr>
        <w:t xml:space="preserve"> Includes any travel related expenses, etc.</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jc w:val="right"/>
      <w:rPr>
        <w:rFonts w:ascii="Poppins" w:cs="Poppins" w:eastAsia="Poppins" w:hAnsi="Poppins"/>
      </w:rPr>
    </w:pPr>
    <w:r w:rsidDel="00000000" w:rsidR="00000000" w:rsidRPr="00000000">
      <w:rPr>
        <w:rFonts w:ascii="Poppins" w:cs="Poppins" w:eastAsia="Poppins" w:hAnsi="Poppins"/>
      </w:rPr>
      <w:drawing>
        <wp:inline distB="114300" distT="114300" distL="114300" distR="114300">
          <wp:extent cx="1243013" cy="416692"/>
          <wp:effectExtent b="0" l="0" r="0" t="0"/>
          <wp:docPr id="1"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1243013" cy="416692"/>
                  </a:xfrm>
                  <a:prstGeom prst="rect"/>
                  <a:ln/>
                </pic:spPr>
              </pic:pic>
            </a:graphicData>
          </a:graphic>
        </wp:inline>
      </w:drawing>
    </w: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2.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5" Type="http://schemas.openxmlformats.org/officeDocument/2006/relationships/font" Target="fonts/PoppinsSemiBold-regular.ttf"/><Relationship Id="rId6" Type="http://schemas.openxmlformats.org/officeDocument/2006/relationships/font" Target="fonts/PoppinsSemiBold-bold.ttf"/><Relationship Id="rId7" Type="http://schemas.openxmlformats.org/officeDocument/2006/relationships/font" Target="fonts/PoppinsSemiBold-italic.ttf"/><Relationship Id="rId8" Type="http://schemas.openxmlformats.org/officeDocument/2006/relationships/font" Target="fonts/PoppinsSemiBold-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