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516509" w14:textId="77777777" w:rsidR="00750E6E" w:rsidRDefault="00000000">
      <w:pPr>
        <w:spacing w:line="240" w:lineRule="auto"/>
        <w:jc w:val="center"/>
        <w:rPr>
          <w:rFonts w:ascii="Poppins" w:eastAsia="Poppins" w:hAnsi="Poppins" w:cs="Poppins"/>
          <w:b/>
          <w:bCs/>
          <w:sz w:val="24"/>
          <w:szCs w:val="24"/>
        </w:rPr>
      </w:pPr>
      <w:r>
        <w:rPr>
          <w:rFonts w:ascii="Poppins" w:eastAsia="Poppins" w:hAnsi="Poppins" w:cs="Poppins"/>
          <w:b/>
          <w:bCs/>
          <w:sz w:val="24"/>
          <w:szCs w:val="24"/>
        </w:rPr>
        <w:t>Sample Scope and Sequence of Professional Learning Engagement</w:t>
      </w:r>
      <w:r>
        <w:rPr>
          <w:noProof/>
        </w:rPr>
        <w:drawing>
          <wp:anchor distT="114300" distB="114300" distL="114300" distR="114300" simplePos="0" relativeHeight="251658240" behindDoc="0" locked="0" layoutInCell="1" hidden="0" allowOverlap="1" wp14:anchorId="30F4F12C" wp14:editId="3FD4F5AF">
            <wp:simplePos x="0" y="0"/>
            <wp:positionH relativeFrom="column">
              <wp:posOffset>-266699</wp:posOffset>
            </wp:positionH>
            <wp:positionV relativeFrom="paragraph">
              <wp:posOffset>114300</wp:posOffset>
            </wp:positionV>
            <wp:extent cx="2919413" cy="659404"/>
            <wp:effectExtent l="0" t="0" r="0" b="0"/>
            <wp:wrapTopAndBottom distT="114300" distB="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919413" cy="659404"/>
                    </a:xfrm>
                    <a:prstGeom prst="rect">
                      <a:avLst/>
                    </a:prstGeom>
                    <a:ln/>
                  </pic:spPr>
                </pic:pic>
              </a:graphicData>
            </a:graphic>
          </wp:anchor>
        </w:drawing>
      </w:r>
    </w:p>
    <w:p w14:paraId="129DC1F2" w14:textId="77777777" w:rsidR="00750E6E" w:rsidRDefault="00750E6E">
      <w:pPr>
        <w:spacing w:line="240" w:lineRule="auto"/>
        <w:jc w:val="center"/>
        <w:rPr>
          <w:rFonts w:ascii="Poppins" w:eastAsia="Poppins" w:hAnsi="Poppins" w:cs="Poppins"/>
          <w:b/>
          <w:bCs/>
          <w:sz w:val="24"/>
          <w:szCs w:val="24"/>
        </w:rPr>
      </w:pPr>
    </w:p>
    <w:p w14:paraId="492612D1" w14:textId="77777777" w:rsidR="00750E6E" w:rsidRDefault="00000000">
      <w:pPr>
        <w:spacing w:line="240" w:lineRule="auto"/>
        <w:rPr>
          <w:rFonts w:ascii="Poppins" w:eastAsia="Poppins" w:hAnsi="Poppins" w:cs="Poppins"/>
          <w:sz w:val="20"/>
          <w:szCs w:val="20"/>
        </w:rPr>
      </w:pPr>
      <w:r>
        <w:rPr>
          <w:rFonts w:ascii="Poppins" w:eastAsia="Poppins" w:hAnsi="Poppins" w:cs="Poppins"/>
          <w:sz w:val="20"/>
          <w:szCs w:val="20"/>
        </w:rPr>
        <w:t>In this document, you will provide information on a sample scope and sequence of a professional learning engagement. This engagement should represent work done with a past client.</w:t>
      </w:r>
    </w:p>
    <w:p w14:paraId="54ACB4B7" w14:textId="77777777" w:rsidR="00750E6E" w:rsidRDefault="00750E6E">
      <w:pPr>
        <w:spacing w:line="240" w:lineRule="auto"/>
        <w:rPr>
          <w:rFonts w:ascii="Poppins" w:eastAsia="Poppins" w:hAnsi="Poppins" w:cs="Poppins"/>
          <w:i/>
          <w:iCs/>
          <w:sz w:val="20"/>
          <w:szCs w:val="20"/>
        </w:rPr>
      </w:pPr>
    </w:p>
    <w:p w14:paraId="009DB3B1" w14:textId="77777777" w:rsidR="00750E6E" w:rsidRDefault="00000000">
      <w:pPr>
        <w:spacing w:line="240" w:lineRule="auto"/>
        <w:rPr>
          <w:rFonts w:ascii="Poppins" w:eastAsia="Poppins" w:hAnsi="Poppins" w:cs="Poppins"/>
          <w:sz w:val="20"/>
          <w:szCs w:val="20"/>
        </w:rPr>
      </w:pPr>
      <w:r>
        <w:rPr>
          <w:rFonts w:ascii="Poppins" w:eastAsia="Poppins" w:hAnsi="Poppins" w:cs="Poppins"/>
          <w:i/>
          <w:iCs/>
          <w:sz w:val="20"/>
          <w:szCs w:val="20"/>
        </w:rPr>
        <w:t xml:space="preserve">For example, if you had a </w:t>
      </w:r>
      <w:proofErr w:type="gramStart"/>
      <w:r>
        <w:rPr>
          <w:rFonts w:ascii="Poppins" w:eastAsia="Poppins" w:hAnsi="Poppins" w:cs="Poppins"/>
          <w:i/>
          <w:iCs/>
          <w:sz w:val="20"/>
          <w:szCs w:val="20"/>
        </w:rPr>
        <w:t>two year</w:t>
      </w:r>
      <w:proofErr w:type="gramEnd"/>
      <w:r>
        <w:rPr>
          <w:rFonts w:ascii="Poppins" w:eastAsia="Poppins" w:hAnsi="Poppins" w:cs="Poppins"/>
          <w:i/>
          <w:iCs/>
          <w:sz w:val="20"/>
          <w:szCs w:val="20"/>
        </w:rPr>
        <w:t xml:space="preserve"> engagement that included Adoption, Initial Implementation, and Ongoing Support for Teachers with Applewhite School District, you would complete a separate template for each one of those types of professional </w:t>
      </w:r>
      <w:proofErr w:type="gramStart"/>
      <w:r>
        <w:rPr>
          <w:rFonts w:ascii="Poppins" w:eastAsia="Poppins" w:hAnsi="Poppins" w:cs="Poppins"/>
          <w:i/>
          <w:iCs/>
          <w:sz w:val="20"/>
          <w:szCs w:val="20"/>
        </w:rPr>
        <w:t>learning, and</w:t>
      </w:r>
      <w:proofErr w:type="gramEnd"/>
      <w:r>
        <w:rPr>
          <w:rFonts w:ascii="Poppins" w:eastAsia="Poppins" w:hAnsi="Poppins" w:cs="Poppins"/>
          <w:i/>
          <w:iCs/>
          <w:sz w:val="20"/>
          <w:szCs w:val="20"/>
        </w:rPr>
        <w:t xml:space="preserve"> include the scope (what you covered) and sequence (timeline)</w:t>
      </w:r>
      <w:r>
        <w:rPr>
          <w:rFonts w:ascii="Poppins" w:eastAsia="Poppins" w:hAnsi="Poppins" w:cs="Poppins"/>
          <w:sz w:val="20"/>
          <w:szCs w:val="20"/>
        </w:rPr>
        <w:t>.</w:t>
      </w:r>
    </w:p>
    <w:p w14:paraId="3D032D4C" w14:textId="77777777" w:rsidR="00750E6E" w:rsidRDefault="00750E6E">
      <w:pPr>
        <w:spacing w:line="240" w:lineRule="auto"/>
        <w:rPr>
          <w:rFonts w:ascii="Poppins" w:eastAsia="Poppins" w:hAnsi="Poppins" w:cs="Poppins"/>
          <w:sz w:val="20"/>
          <w:szCs w:val="20"/>
        </w:rPr>
      </w:pPr>
    </w:p>
    <w:p w14:paraId="3DED8597" w14:textId="77777777" w:rsidR="00750E6E" w:rsidRDefault="00000000">
      <w:pPr>
        <w:spacing w:line="240" w:lineRule="auto"/>
        <w:jc w:val="center"/>
        <w:rPr>
          <w:rFonts w:ascii="Poppins" w:eastAsia="Poppins" w:hAnsi="Poppins" w:cs="Poppins"/>
          <w:sz w:val="20"/>
          <w:szCs w:val="20"/>
        </w:rPr>
      </w:pPr>
      <w:r>
        <w:rPr>
          <w:rFonts w:ascii="Poppins SemiBold" w:eastAsia="Poppins SemiBold" w:hAnsi="Poppins SemiBold" w:cs="Poppins SemiBold"/>
          <w:color w:val="FF0000"/>
          <w:sz w:val="20"/>
          <w:szCs w:val="20"/>
        </w:rPr>
        <w:t>This overview represents the services for one client of the professional learning partner.</w:t>
      </w:r>
    </w:p>
    <w:tbl>
      <w:tblPr>
        <w:tblStyle w:val="a"/>
        <w:tblW w:w="12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3855"/>
        <w:gridCol w:w="1830"/>
        <w:gridCol w:w="3615"/>
      </w:tblGrid>
      <w:tr w:rsidR="00750E6E" w14:paraId="1026CF80" w14:textId="77777777">
        <w:trPr>
          <w:trHeight w:val="440"/>
        </w:trPr>
        <w:tc>
          <w:tcPr>
            <w:tcW w:w="3630" w:type="dxa"/>
            <w:shd w:val="clear" w:color="auto" w:fill="D9D9D9"/>
            <w:tcMar>
              <w:top w:w="100" w:type="dxa"/>
              <w:left w:w="100" w:type="dxa"/>
              <w:bottom w:w="100" w:type="dxa"/>
              <w:right w:w="100" w:type="dxa"/>
            </w:tcMar>
          </w:tcPr>
          <w:p w14:paraId="5C2AD403" w14:textId="77777777" w:rsidR="00750E6E" w:rsidRDefault="00000000">
            <w:pPr>
              <w:widowControl w:val="0"/>
              <w:spacing w:line="240" w:lineRule="auto"/>
              <w:rPr>
                <w:rFonts w:ascii="Poppins" w:eastAsia="Poppins" w:hAnsi="Poppins" w:cs="Poppins"/>
                <w:sz w:val="20"/>
                <w:szCs w:val="20"/>
              </w:rPr>
            </w:pPr>
            <w:r>
              <w:rPr>
                <w:rFonts w:ascii="Poppins" w:eastAsia="Poppins" w:hAnsi="Poppins" w:cs="Poppins"/>
                <w:b/>
                <w:bCs/>
                <w:sz w:val="20"/>
                <w:szCs w:val="20"/>
              </w:rPr>
              <w:t xml:space="preserve">Curriculum or Content Area </w:t>
            </w:r>
          </w:p>
        </w:tc>
        <w:tc>
          <w:tcPr>
            <w:tcW w:w="9300" w:type="dxa"/>
            <w:gridSpan w:val="3"/>
            <w:tcMar>
              <w:top w:w="100" w:type="dxa"/>
              <w:left w:w="100" w:type="dxa"/>
              <w:bottom w:w="100" w:type="dxa"/>
              <w:right w:w="100" w:type="dxa"/>
            </w:tcMar>
          </w:tcPr>
          <w:p w14:paraId="72144EFA" w14:textId="77777777" w:rsidR="00750E6E" w:rsidRDefault="00000000">
            <w:pPr>
              <w:widowControl w:val="0"/>
              <w:spacing w:line="240" w:lineRule="auto"/>
              <w:rPr>
                <w:rFonts w:ascii="Poppins" w:eastAsia="Poppins" w:hAnsi="Poppins" w:cs="Poppins"/>
                <w:sz w:val="20"/>
                <w:szCs w:val="20"/>
              </w:rPr>
            </w:pPr>
            <w:proofErr w:type="spellStart"/>
            <w:r>
              <w:rPr>
                <w:rFonts w:ascii="Poppins" w:eastAsia="Poppins" w:hAnsi="Poppins" w:cs="Poppins"/>
                <w:i/>
                <w:iCs/>
                <w:sz w:val="20"/>
                <w:szCs w:val="20"/>
              </w:rPr>
              <w:t>myPerspectives</w:t>
            </w:r>
            <w:proofErr w:type="spellEnd"/>
            <w:r>
              <w:rPr>
                <w:rFonts w:ascii="Poppins" w:eastAsia="Poppins" w:hAnsi="Poppins" w:cs="Poppins"/>
                <w:sz w:val="20"/>
                <w:szCs w:val="20"/>
              </w:rPr>
              <w:t>, Grades 6-12</w:t>
            </w:r>
          </w:p>
        </w:tc>
      </w:tr>
      <w:tr w:rsidR="00750E6E" w14:paraId="7AFADDD8" w14:textId="77777777">
        <w:trPr>
          <w:trHeight w:val="750"/>
        </w:trPr>
        <w:tc>
          <w:tcPr>
            <w:tcW w:w="3630" w:type="dxa"/>
            <w:shd w:val="clear" w:color="auto" w:fill="D9D9D9"/>
            <w:tcMar>
              <w:top w:w="100" w:type="dxa"/>
              <w:left w:w="100" w:type="dxa"/>
              <w:bottom w:w="100" w:type="dxa"/>
              <w:right w:w="100" w:type="dxa"/>
            </w:tcMar>
          </w:tcPr>
          <w:p w14:paraId="3BF30C96" w14:textId="77777777" w:rsidR="00750E6E" w:rsidRDefault="00000000">
            <w:pPr>
              <w:widowControl w:val="0"/>
              <w:spacing w:line="240" w:lineRule="auto"/>
              <w:rPr>
                <w:rFonts w:ascii="Poppins" w:eastAsia="Poppins" w:hAnsi="Poppins" w:cs="Poppins"/>
                <w:b/>
                <w:bCs/>
                <w:sz w:val="20"/>
                <w:szCs w:val="20"/>
              </w:rPr>
            </w:pPr>
            <w:r>
              <w:rPr>
                <w:rFonts w:ascii="Poppins" w:eastAsia="Poppins" w:hAnsi="Poppins" w:cs="Poppins"/>
                <w:b/>
                <w:bCs/>
                <w:sz w:val="20"/>
                <w:szCs w:val="20"/>
              </w:rPr>
              <w:t xml:space="preserve">Type of Professional Learning </w:t>
            </w:r>
          </w:p>
          <w:p w14:paraId="76369AF9" w14:textId="77777777" w:rsidR="00750E6E" w:rsidRDefault="00750E6E">
            <w:pPr>
              <w:widowControl w:val="0"/>
              <w:spacing w:line="240" w:lineRule="auto"/>
              <w:rPr>
                <w:rFonts w:ascii="Poppins" w:eastAsia="Poppins" w:hAnsi="Poppins" w:cs="Poppins"/>
                <w:sz w:val="20"/>
                <w:szCs w:val="20"/>
              </w:rPr>
            </w:pPr>
          </w:p>
        </w:tc>
        <w:tc>
          <w:tcPr>
            <w:tcW w:w="9300" w:type="dxa"/>
            <w:gridSpan w:val="3"/>
            <w:tcBorders>
              <w:right w:val="single" w:sz="8" w:space="0" w:color="FFFFFF"/>
            </w:tcBorders>
            <w:tcMar>
              <w:top w:w="100" w:type="dxa"/>
              <w:left w:w="100" w:type="dxa"/>
              <w:bottom w:w="100" w:type="dxa"/>
              <w:right w:w="100" w:type="dxa"/>
            </w:tcMar>
          </w:tcPr>
          <w:p w14:paraId="27E44369" w14:textId="77777777" w:rsidR="00750E6E" w:rsidRDefault="00000000">
            <w:pPr>
              <w:widowControl w:val="0"/>
              <w:spacing w:line="240" w:lineRule="auto"/>
              <w:rPr>
                <w:rFonts w:ascii="Poppins" w:eastAsia="Poppins" w:hAnsi="Poppins" w:cs="Poppins"/>
                <w:sz w:val="20"/>
                <w:szCs w:val="20"/>
                <w:highlight w:val="white"/>
              </w:rPr>
            </w:pPr>
            <w:r>
              <w:rPr>
                <w:rFonts w:ascii="Poppins" w:eastAsia="Poppins" w:hAnsi="Poppins" w:cs="Poppins"/>
                <w:sz w:val="20"/>
                <w:szCs w:val="20"/>
                <w:highlight w:val="white"/>
              </w:rPr>
              <w:t>Ongoing for Leaders</w:t>
            </w:r>
          </w:p>
        </w:tc>
      </w:tr>
      <w:tr w:rsidR="00750E6E" w14:paraId="2C1FFB9F" w14:textId="77777777">
        <w:trPr>
          <w:trHeight w:val="400"/>
        </w:trPr>
        <w:tc>
          <w:tcPr>
            <w:tcW w:w="3630" w:type="dxa"/>
            <w:shd w:val="clear" w:color="auto" w:fill="D9D9D9"/>
            <w:tcMar>
              <w:top w:w="100" w:type="dxa"/>
              <w:left w:w="100" w:type="dxa"/>
              <w:bottom w:w="100" w:type="dxa"/>
              <w:right w:w="100" w:type="dxa"/>
            </w:tcMar>
          </w:tcPr>
          <w:p w14:paraId="051DAB59" w14:textId="77777777" w:rsidR="00750E6E" w:rsidRDefault="00000000">
            <w:pPr>
              <w:widowControl w:val="0"/>
              <w:spacing w:line="240" w:lineRule="auto"/>
              <w:rPr>
                <w:rFonts w:ascii="Poppins" w:eastAsia="Poppins" w:hAnsi="Poppins" w:cs="Poppins"/>
                <w:b/>
                <w:bCs/>
                <w:sz w:val="20"/>
                <w:szCs w:val="20"/>
                <w:shd w:val="clear" w:color="auto" w:fill="D9D9D9"/>
              </w:rPr>
            </w:pPr>
            <w:r>
              <w:rPr>
                <w:rFonts w:ascii="Poppins" w:eastAsia="Poppins" w:hAnsi="Poppins" w:cs="Poppins"/>
                <w:b/>
                <w:bCs/>
                <w:sz w:val="20"/>
                <w:szCs w:val="20"/>
                <w:shd w:val="clear" w:color="auto" w:fill="D9D9D9"/>
              </w:rPr>
              <w:t>Total Cost Range</w:t>
            </w:r>
            <w:r>
              <w:rPr>
                <w:rFonts w:ascii="Poppins" w:eastAsia="Poppins" w:hAnsi="Poppins" w:cs="Poppins"/>
                <w:b/>
                <w:bCs/>
                <w:sz w:val="20"/>
                <w:szCs w:val="20"/>
                <w:shd w:val="clear" w:color="auto" w:fill="D9D9D9"/>
                <w:vertAlign w:val="superscript"/>
              </w:rPr>
              <w:footnoteReference w:id="1"/>
            </w:r>
          </w:p>
        </w:tc>
        <w:tc>
          <w:tcPr>
            <w:tcW w:w="3855" w:type="dxa"/>
            <w:tcBorders>
              <w:right w:val="single" w:sz="8" w:space="0" w:color="FFFFFF"/>
            </w:tcBorders>
            <w:tcMar>
              <w:top w:w="100" w:type="dxa"/>
              <w:left w:w="100" w:type="dxa"/>
              <w:bottom w:w="100" w:type="dxa"/>
              <w:right w:w="100" w:type="dxa"/>
            </w:tcMar>
          </w:tcPr>
          <w:p w14:paraId="5E431CD1" w14:textId="77777777" w:rsidR="00750E6E"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Less than $50,000</w:t>
            </w:r>
          </w:p>
          <w:p w14:paraId="4FB57390" w14:textId="77777777" w:rsidR="00750E6E"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$50,000 - $100,000</w:t>
            </w:r>
          </w:p>
          <w:p w14:paraId="7F1F3BE4" w14:textId="77777777" w:rsidR="00750E6E"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$100,001 - $500,000</w:t>
            </w:r>
          </w:p>
        </w:tc>
        <w:tc>
          <w:tcPr>
            <w:tcW w:w="1830" w:type="dxa"/>
            <w:tcBorders>
              <w:left w:val="single" w:sz="8" w:space="0" w:color="FFFFFF"/>
            </w:tcBorders>
            <w:tcMar>
              <w:top w:w="100" w:type="dxa"/>
              <w:left w:w="100" w:type="dxa"/>
              <w:bottom w:w="100" w:type="dxa"/>
              <w:right w:w="100" w:type="dxa"/>
            </w:tcMar>
          </w:tcPr>
          <w:p w14:paraId="6C499F33" w14:textId="77777777" w:rsidR="00750E6E" w:rsidRDefault="00750E6E">
            <w:pPr>
              <w:widowControl w:val="0"/>
              <w:spacing w:line="240" w:lineRule="auto"/>
              <w:ind w:left="720" w:hanging="360"/>
              <w:rPr>
                <w:rFonts w:ascii="Poppins" w:eastAsia="Poppins" w:hAnsi="Poppins" w:cs="Poppins"/>
                <w:sz w:val="20"/>
                <w:szCs w:val="20"/>
              </w:rPr>
            </w:pPr>
          </w:p>
        </w:tc>
        <w:tc>
          <w:tcPr>
            <w:tcW w:w="3615" w:type="dxa"/>
            <w:tcBorders>
              <w:left w:val="single" w:sz="8" w:space="0" w:color="FFFFFF"/>
            </w:tcBorders>
            <w:tcMar>
              <w:top w:w="100" w:type="dxa"/>
              <w:left w:w="100" w:type="dxa"/>
              <w:bottom w:w="100" w:type="dxa"/>
              <w:right w:w="100" w:type="dxa"/>
            </w:tcMar>
          </w:tcPr>
          <w:p w14:paraId="5F6D4DA7" w14:textId="77777777" w:rsidR="00750E6E" w:rsidRDefault="00000000">
            <w:pPr>
              <w:widowControl w:val="0"/>
              <w:numPr>
                <w:ilvl w:val="0"/>
                <w:numId w:val="2"/>
              </w:numPr>
              <w:spacing w:line="240" w:lineRule="auto"/>
              <w:rPr>
                <w:rFonts w:ascii="Poppins" w:eastAsia="Poppins" w:hAnsi="Poppins" w:cs="Poppins"/>
                <w:sz w:val="20"/>
                <w:szCs w:val="20"/>
                <w:highlight w:val="white"/>
              </w:rPr>
            </w:pPr>
            <w:r>
              <w:rPr>
                <w:rFonts w:ascii="Poppins" w:eastAsia="Poppins" w:hAnsi="Poppins" w:cs="Poppins"/>
                <w:sz w:val="20"/>
                <w:szCs w:val="20"/>
                <w:highlight w:val="white"/>
              </w:rPr>
              <w:t>$500,001 - $1,000,000</w:t>
            </w:r>
          </w:p>
          <w:p w14:paraId="7F48EFAF" w14:textId="77777777" w:rsidR="00750E6E"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$1,000,000+</w:t>
            </w:r>
            <w:r>
              <w:rPr>
                <w:rFonts w:ascii="Poppins" w:eastAsia="Poppins" w:hAnsi="Poppins" w:cs="Poppins"/>
                <w:sz w:val="20"/>
                <w:szCs w:val="20"/>
              </w:rPr>
              <w:tab/>
            </w:r>
            <w:r>
              <w:rPr>
                <w:rFonts w:ascii="Poppins" w:eastAsia="Poppins" w:hAnsi="Poppins" w:cs="Poppins"/>
                <w:sz w:val="20"/>
                <w:szCs w:val="20"/>
              </w:rPr>
              <w:tab/>
            </w:r>
            <w:r>
              <w:rPr>
                <w:rFonts w:ascii="Poppins" w:eastAsia="Poppins" w:hAnsi="Poppins" w:cs="Poppins"/>
                <w:sz w:val="20"/>
                <w:szCs w:val="20"/>
              </w:rPr>
              <w:tab/>
            </w:r>
            <w:r>
              <w:rPr>
                <w:rFonts w:ascii="Poppins" w:eastAsia="Poppins" w:hAnsi="Poppins" w:cs="Poppins"/>
                <w:sz w:val="20"/>
                <w:szCs w:val="20"/>
              </w:rPr>
              <w:tab/>
            </w:r>
          </w:p>
        </w:tc>
      </w:tr>
      <w:tr w:rsidR="00750E6E" w14:paraId="0F66773E" w14:textId="77777777">
        <w:trPr>
          <w:trHeight w:val="400"/>
        </w:trPr>
        <w:tc>
          <w:tcPr>
            <w:tcW w:w="3630" w:type="dxa"/>
            <w:shd w:val="clear" w:color="auto" w:fill="D9D9D9"/>
            <w:tcMar>
              <w:top w:w="100" w:type="dxa"/>
              <w:left w:w="100" w:type="dxa"/>
              <w:bottom w:w="100" w:type="dxa"/>
              <w:right w:w="100" w:type="dxa"/>
            </w:tcMar>
          </w:tcPr>
          <w:p w14:paraId="6204BD94" w14:textId="77777777" w:rsidR="00750E6E" w:rsidRDefault="00000000">
            <w:pPr>
              <w:widowControl w:val="0"/>
              <w:spacing w:line="240" w:lineRule="auto"/>
              <w:rPr>
                <w:rFonts w:ascii="Poppins" w:eastAsia="Poppins" w:hAnsi="Poppins" w:cs="Poppins"/>
                <w:b/>
                <w:bCs/>
                <w:sz w:val="20"/>
                <w:szCs w:val="20"/>
              </w:rPr>
            </w:pPr>
            <w:r>
              <w:rPr>
                <w:rFonts w:ascii="Poppins" w:eastAsia="Poppins" w:hAnsi="Poppins" w:cs="Poppins"/>
                <w:b/>
                <w:bCs/>
                <w:sz w:val="20"/>
                <w:szCs w:val="20"/>
              </w:rPr>
              <w:t>District Context</w:t>
            </w:r>
          </w:p>
          <w:p w14:paraId="6AE9C728" w14:textId="77777777" w:rsidR="00750E6E" w:rsidRDefault="00000000">
            <w:pPr>
              <w:widowControl w:val="0"/>
              <w:spacing w:line="240" w:lineRule="auto"/>
              <w:rPr>
                <w:rFonts w:ascii="Poppins" w:eastAsia="Poppins" w:hAnsi="Poppins" w:cs="Poppins"/>
                <w:b/>
                <w:bCs/>
                <w:sz w:val="20"/>
                <w:szCs w:val="20"/>
              </w:rPr>
            </w:pPr>
            <w:r>
              <w:rPr>
                <w:rFonts w:ascii="Poppins" w:eastAsia="Poppins" w:hAnsi="Poppins" w:cs="Poppins"/>
                <w:sz w:val="20"/>
                <w:szCs w:val="20"/>
              </w:rPr>
              <w:t xml:space="preserve">Size, type (urban, suburban, rural), number of teachers served, </w:t>
            </w:r>
            <w:r>
              <w:rPr>
                <w:rFonts w:ascii="Poppins" w:eastAsia="Poppins" w:hAnsi="Poppins" w:cs="Poppins"/>
                <w:sz w:val="20"/>
                <w:szCs w:val="20"/>
              </w:rPr>
              <w:lastRenderedPageBreak/>
              <w:t>overall goal of your engagement</w:t>
            </w:r>
          </w:p>
        </w:tc>
        <w:tc>
          <w:tcPr>
            <w:tcW w:w="9300" w:type="dxa"/>
            <w:gridSpan w:val="3"/>
            <w:tcBorders>
              <w:right w:val="single" w:sz="8" w:space="0" w:color="FFFFFF"/>
            </w:tcBorders>
            <w:tcMar>
              <w:top w:w="100" w:type="dxa"/>
              <w:left w:w="100" w:type="dxa"/>
              <w:bottom w:w="100" w:type="dxa"/>
              <w:right w:w="100" w:type="dxa"/>
            </w:tcMar>
          </w:tcPr>
          <w:p w14:paraId="258A350E" w14:textId="77777777" w:rsidR="00750E6E"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lastRenderedPageBreak/>
              <w:t>District Context:</w:t>
            </w:r>
          </w:p>
          <w:p w14:paraId="422226BD" w14:textId="77777777" w:rsidR="00750E6E"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Urban</w:t>
            </w:r>
          </w:p>
          <w:p w14:paraId="3334F388" w14:textId="77777777" w:rsidR="00750E6E"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55 Middle and High Schools</w:t>
            </w:r>
          </w:p>
          <w:p w14:paraId="116F7E34" w14:textId="77777777" w:rsidR="00750E6E"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lastRenderedPageBreak/>
              <w:t>600 Teachers &amp; Administrators</w:t>
            </w:r>
          </w:p>
          <w:p w14:paraId="7D49438A" w14:textId="77777777" w:rsidR="00750E6E"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 xml:space="preserve">Multi-year support for district-wide adoption of </w:t>
            </w:r>
            <w:proofErr w:type="spellStart"/>
            <w:r>
              <w:rPr>
                <w:rFonts w:ascii="Poppins" w:eastAsia="Poppins" w:hAnsi="Poppins" w:cs="Poppins"/>
                <w:sz w:val="20"/>
                <w:szCs w:val="20"/>
              </w:rPr>
              <w:t>myPerspectives</w:t>
            </w:r>
            <w:proofErr w:type="spellEnd"/>
            <w:r>
              <w:rPr>
                <w:rFonts w:ascii="Poppins" w:eastAsia="Poppins" w:hAnsi="Poppins" w:cs="Poppins"/>
                <w:sz w:val="20"/>
                <w:szCs w:val="20"/>
              </w:rPr>
              <w:t xml:space="preserve"> (grades 6-12);  implementation has included multiple phases of planning, training, and ongoing support spanning initial/foundational professional learning to targeted job embedded assistance and the use of  full-time dedicated consultants.</w:t>
            </w:r>
          </w:p>
          <w:p w14:paraId="7EB0FD3D" w14:textId="77777777" w:rsidR="00750E6E" w:rsidRDefault="00750E6E">
            <w:pPr>
              <w:widowControl w:val="0"/>
              <w:spacing w:line="240" w:lineRule="auto"/>
              <w:ind w:left="720"/>
              <w:rPr>
                <w:rFonts w:ascii="Poppins" w:eastAsia="Poppins" w:hAnsi="Poppins" w:cs="Poppins"/>
                <w:sz w:val="20"/>
                <w:szCs w:val="20"/>
              </w:rPr>
            </w:pPr>
          </w:p>
          <w:p w14:paraId="66F013F4" w14:textId="77777777" w:rsidR="00750E6E" w:rsidRDefault="00000000">
            <w:pPr>
              <w:widowControl w:val="0"/>
              <w:spacing w:line="240" w:lineRule="auto"/>
              <w:rPr>
                <w:rFonts w:ascii="Poppins" w:eastAsia="Poppins" w:hAnsi="Poppins" w:cs="Poppins"/>
                <w:sz w:val="20"/>
                <w:szCs w:val="20"/>
                <w:highlight w:val="white"/>
              </w:rPr>
            </w:pPr>
            <w:r>
              <w:rPr>
                <w:rFonts w:ascii="Poppins" w:eastAsia="Poppins" w:hAnsi="Poppins" w:cs="Poppins"/>
                <w:sz w:val="20"/>
                <w:szCs w:val="20"/>
              </w:rPr>
              <w:t xml:space="preserve">We began by collaboratively developing a professional learning plan with our partner that provided training and support to educators in various roles across the district’s implementing schools. Our overall approach was to first introduce </w:t>
            </w:r>
            <w:proofErr w:type="spellStart"/>
            <w:r>
              <w:rPr>
                <w:rFonts w:ascii="Poppins" w:eastAsia="Poppins" w:hAnsi="Poppins" w:cs="Poppins"/>
                <w:i/>
                <w:iCs/>
                <w:sz w:val="20"/>
                <w:szCs w:val="20"/>
              </w:rPr>
              <w:t>myPerspectives</w:t>
            </w:r>
            <w:proofErr w:type="spellEnd"/>
            <w:r>
              <w:rPr>
                <w:rFonts w:ascii="Poppins" w:eastAsia="Poppins" w:hAnsi="Poppins" w:cs="Poppins"/>
                <w:sz w:val="20"/>
                <w:szCs w:val="20"/>
              </w:rPr>
              <w:t>, layer that introduction with deeper exploration of collaboratively determined program topics, features, and strategies, and then further support implementation by focusing on leveraging existing capacity building structures, such as professional learning communities (PLCs), to sustain ongoing improvement. We have facilitated professional learning virtually (both synchronously and asynchronously), onsite, and in blended formats.</w:t>
            </w:r>
          </w:p>
          <w:p w14:paraId="233A6F27" w14:textId="77777777" w:rsidR="00750E6E" w:rsidRDefault="00750E6E">
            <w:pPr>
              <w:spacing w:line="240" w:lineRule="auto"/>
              <w:rPr>
                <w:rFonts w:ascii="Poppins" w:eastAsia="Poppins" w:hAnsi="Poppins" w:cs="Poppins"/>
                <w:sz w:val="20"/>
                <w:szCs w:val="20"/>
              </w:rPr>
            </w:pPr>
          </w:p>
          <w:p w14:paraId="13C6FA25" w14:textId="77777777" w:rsidR="00750E6E" w:rsidRDefault="00000000">
            <w:pPr>
              <w:widowControl w:val="0"/>
              <w:spacing w:line="240" w:lineRule="auto"/>
              <w:rPr>
                <w:rFonts w:ascii="Poppins" w:eastAsia="Poppins" w:hAnsi="Poppins" w:cs="Poppins"/>
                <w:sz w:val="20"/>
                <w:szCs w:val="20"/>
                <w:highlight w:val="yellow"/>
              </w:rPr>
            </w:pPr>
            <w:r>
              <w:rPr>
                <w:rFonts w:ascii="Poppins" w:eastAsia="Poppins" w:hAnsi="Poppins" w:cs="Poppins"/>
                <w:sz w:val="20"/>
                <w:szCs w:val="20"/>
              </w:rPr>
              <w:t xml:space="preserve">Sustaining support from Savvas has included work with school and district leaders, site-based/in-person and virtual professional learning sessions based on instructional goals that were collaboratively determined with the administrators, individual teacher coaching, and grade-level PLC meetings. Savvas support for this partner school district is ongoing and currently includes weekly meetings with the district ELA department, as well as personalized onsite and virtual professional learning sessions. </w:t>
            </w:r>
          </w:p>
          <w:p w14:paraId="53772226" w14:textId="77777777" w:rsidR="00750E6E" w:rsidRDefault="00750E6E">
            <w:pPr>
              <w:widowControl w:val="0"/>
              <w:spacing w:line="240" w:lineRule="auto"/>
              <w:ind w:left="720" w:hanging="360"/>
              <w:rPr>
                <w:rFonts w:ascii="Poppins" w:eastAsia="Poppins" w:hAnsi="Poppins" w:cs="Poppins"/>
                <w:sz w:val="20"/>
                <w:szCs w:val="20"/>
              </w:rPr>
            </w:pPr>
          </w:p>
          <w:p w14:paraId="1C65FB4D" w14:textId="77777777" w:rsidR="00750E6E" w:rsidRDefault="00000000">
            <w:pPr>
              <w:spacing w:line="240" w:lineRule="auto"/>
              <w:rPr>
                <w:rFonts w:ascii="Poppins" w:eastAsia="Poppins" w:hAnsi="Poppins" w:cs="Poppins"/>
                <w:sz w:val="20"/>
                <w:szCs w:val="20"/>
                <w:highlight w:val="white"/>
              </w:rPr>
            </w:pPr>
            <w:r>
              <w:rPr>
                <w:rFonts w:ascii="Poppins" w:eastAsia="Poppins" w:hAnsi="Poppins" w:cs="Poppins"/>
                <w:sz w:val="20"/>
                <w:szCs w:val="20"/>
                <w:highlight w:val="white"/>
              </w:rPr>
              <w:t xml:space="preserve">The sample Scope and Sequence below </w:t>
            </w:r>
            <w:proofErr w:type="gramStart"/>
            <w:r>
              <w:rPr>
                <w:rFonts w:ascii="Poppins" w:eastAsia="Poppins" w:hAnsi="Poppins" w:cs="Poppins"/>
                <w:sz w:val="20"/>
                <w:szCs w:val="20"/>
                <w:highlight w:val="white"/>
              </w:rPr>
              <w:t>examines</w:t>
            </w:r>
            <w:proofErr w:type="gramEnd"/>
            <w:r>
              <w:rPr>
                <w:rFonts w:ascii="Poppins" w:eastAsia="Poppins" w:hAnsi="Poppins" w:cs="Poppins"/>
                <w:sz w:val="20"/>
                <w:szCs w:val="20"/>
                <w:highlight w:val="white"/>
              </w:rPr>
              <w:t xml:space="preserve"> ongoing support for district and school leaders.</w:t>
            </w:r>
          </w:p>
        </w:tc>
      </w:tr>
    </w:tbl>
    <w:p w14:paraId="68F936D3" w14:textId="77777777" w:rsidR="00750E6E" w:rsidRDefault="00750E6E">
      <w:pPr>
        <w:spacing w:line="240" w:lineRule="auto"/>
        <w:rPr>
          <w:rFonts w:ascii="Poppins" w:eastAsia="Poppins" w:hAnsi="Poppins" w:cs="Poppins"/>
          <w:sz w:val="20"/>
          <w:szCs w:val="20"/>
        </w:rPr>
      </w:pPr>
    </w:p>
    <w:p w14:paraId="3BB92A6C" w14:textId="77777777" w:rsidR="00750E6E" w:rsidRDefault="00750E6E">
      <w:pPr>
        <w:spacing w:line="240" w:lineRule="auto"/>
        <w:rPr>
          <w:rFonts w:ascii="Poppins" w:eastAsia="Poppins" w:hAnsi="Poppins" w:cs="Poppins"/>
          <w:sz w:val="20"/>
          <w:szCs w:val="20"/>
        </w:rPr>
      </w:pPr>
    </w:p>
    <w:p w14:paraId="499D4F0B" w14:textId="77777777" w:rsidR="00750E6E" w:rsidRDefault="00000000">
      <w:pPr>
        <w:spacing w:line="240" w:lineRule="auto"/>
        <w:rPr>
          <w:rFonts w:ascii="Poppins" w:eastAsia="Poppins" w:hAnsi="Poppins" w:cs="Poppins"/>
          <w:b/>
          <w:bCs/>
          <w:sz w:val="20"/>
          <w:szCs w:val="20"/>
        </w:rPr>
      </w:pPr>
      <w:r>
        <w:rPr>
          <w:rFonts w:ascii="Poppins" w:eastAsia="Poppins" w:hAnsi="Poppins" w:cs="Poppins"/>
          <w:b/>
          <w:bCs/>
          <w:sz w:val="20"/>
          <w:szCs w:val="20"/>
        </w:rPr>
        <w:t>Sample Scope and Sequence (delete the examples. You may add up to 2 samples of engagements- duplicate this table if necessary)</w:t>
      </w:r>
    </w:p>
    <w:tbl>
      <w:tblPr>
        <w:tblStyle w:val="a0"/>
        <w:tblW w:w="131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2670"/>
        <w:gridCol w:w="3285"/>
        <w:gridCol w:w="5385"/>
      </w:tblGrid>
      <w:tr w:rsidR="00750E6E" w14:paraId="5E352381" w14:textId="77777777">
        <w:tc>
          <w:tcPr>
            <w:tcW w:w="1770" w:type="dxa"/>
            <w:shd w:val="clear" w:color="auto" w:fill="D9D9D9"/>
            <w:tcMar>
              <w:top w:w="100" w:type="dxa"/>
              <w:left w:w="100" w:type="dxa"/>
              <w:bottom w:w="100" w:type="dxa"/>
              <w:right w:w="100" w:type="dxa"/>
            </w:tcMar>
          </w:tcPr>
          <w:p w14:paraId="32EE42B9" w14:textId="77777777" w:rsidR="00750E6E"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b/>
                <w:bCs/>
                <w:sz w:val="20"/>
                <w:szCs w:val="20"/>
              </w:rPr>
              <w:lastRenderedPageBreak/>
              <w:t xml:space="preserve">Timing </w:t>
            </w:r>
            <w:r>
              <w:rPr>
                <w:rFonts w:ascii="Poppins" w:eastAsia="Poppins" w:hAnsi="Poppins" w:cs="Poppins"/>
                <w:sz w:val="20"/>
                <w:szCs w:val="20"/>
              </w:rPr>
              <w:t>(you may choose to use specific days/months or frequency)</w:t>
            </w:r>
          </w:p>
        </w:tc>
        <w:tc>
          <w:tcPr>
            <w:tcW w:w="2670" w:type="dxa"/>
            <w:shd w:val="clear" w:color="auto" w:fill="D9D9D9"/>
            <w:tcMar>
              <w:top w:w="100" w:type="dxa"/>
              <w:left w:w="100" w:type="dxa"/>
              <w:bottom w:w="100" w:type="dxa"/>
              <w:right w:w="100" w:type="dxa"/>
            </w:tcMar>
          </w:tcPr>
          <w:p w14:paraId="798271FE" w14:textId="77777777" w:rsidR="00750E6E" w:rsidRDefault="00000000">
            <w:pPr>
              <w:widowControl w:val="0"/>
              <w:pBdr>
                <w:top w:val="nil"/>
                <w:left w:val="nil"/>
                <w:bottom w:val="nil"/>
                <w:right w:val="nil"/>
                <w:between w:val="nil"/>
              </w:pBdr>
              <w:spacing w:line="240" w:lineRule="auto"/>
              <w:jc w:val="center"/>
              <w:rPr>
                <w:rFonts w:ascii="Poppins" w:eastAsia="Poppins" w:hAnsi="Poppins" w:cs="Poppins"/>
                <w:b/>
                <w:bCs/>
                <w:sz w:val="20"/>
                <w:szCs w:val="20"/>
              </w:rPr>
            </w:pPr>
            <w:r>
              <w:rPr>
                <w:rFonts w:ascii="Poppins" w:eastAsia="Poppins" w:hAnsi="Poppins" w:cs="Poppins"/>
                <w:b/>
                <w:bCs/>
                <w:sz w:val="20"/>
                <w:szCs w:val="20"/>
              </w:rPr>
              <w:t>Participants</w:t>
            </w:r>
          </w:p>
        </w:tc>
        <w:tc>
          <w:tcPr>
            <w:tcW w:w="3285" w:type="dxa"/>
            <w:shd w:val="clear" w:color="auto" w:fill="D9D9D9"/>
            <w:tcMar>
              <w:top w:w="100" w:type="dxa"/>
              <w:left w:w="100" w:type="dxa"/>
              <w:bottom w:w="100" w:type="dxa"/>
              <w:right w:w="100" w:type="dxa"/>
            </w:tcMar>
          </w:tcPr>
          <w:p w14:paraId="1C5C25B8" w14:textId="77777777" w:rsidR="00750E6E"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b/>
                <w:bCs/>
                <w:sz w:val="20"/>
                <w:szCs w:val="20"/>
              </w:rPr>
              <w:t xml:space="preserve">Name of PL </w:t>
            </w:r>
            <w:r>
              <w:rPr>
                <w:rFonts w:ascii="Poppins" w:eastAsia="Poppins" w:hAnsi="Poppins" w:cs="Poppins"/>
                <w:sz w:val="20"/>
                <w:szCs w:val="20"/>
              </w:rPr>
              <w:t xml:space="preserve">(either specific workshop title, coaching, </w:t>
            </w:r>
            <w:proofErr w:type="spellStart"/>
            <w:r>
              <w:rPr>
                <w:rFonts w:ascii="Poppins" w:eastAsia="Poppins" w:hAnsi="Poppins" w:cs="Poppins"/>
                <w:sz w:val="20"/>
                <w:szCs w:val="20"/>
              </w:rPr>
              <w:t>etc</w:t>
            </w:r>
            <w:proofErr w:type="spellEnd"/>
            <w:r>
              <w:rPr>
                <w:rFonts w:ascii="Poppins" w:eastAsia="Poppins" w:hAnsi="Poppins" w:cs="Poppins"/>
                <w:sz w:val="20"/>
                <w:szCs w:val="20"/>
              </w:rPr>
              <w:t>)</w:t>
            </w:r>
            <w:r>
              <w:rPr>
                <w:rFonts w:ascii="Poppins" w:eastAsia="Poppins" w:hAnsi="Poppins" w:cs="Poppins"/>
                <w:b/>
                <w:bCs/>
                <w:sz w:val="20"/>
                <w:szCs w:val="20"/>
              </w:rPr>
              <w:t xml:space="preserve"> and format</w:t>
            </w:r>
            <w:r>
              <w:rPr>
                <w:rFonts w:ascii="Poppins" w:eastAsia="Poppins" w:hAnsi="Poppins" w:cs="Poppins"/>
                <w:sz w:val="20"/>
                <w:szCs w:val="20"/>
              </w:rPr>
              <w:t>( Virtual, in-person, hybrid)</w:t>
            </w:r>
          </w:p>
        </w:tc>
        <w:tc>
          <w:tcPr>
            <w:tcW w:w="5385" w:type="dxa"/>
            <w:shd w:val="clear" w:color="auto" w:fill="D9D9D9"/>
            <w:tcMar>
              <w:top w:w="100" w:type="dxa"/>
              <w:left w:w="100" w:type="dxa"/>
              <w:bottom w:w="100" w:type="dxa"/>
              <w:right w:w="100" w:type="dxa"/>
            </w:tcMar>
          </w:tcPr>
          <w:p w14:paraId="161FD4D8" w14:textId="77777777" w:rsidR="00750E6E" w:rsidRDefault="00000000">
            <w:pPr>
              <w:widowControl w:val="0"/>
              <w:pBdr>
                <w:top w:val="nil"/>
                <w:left w:val="nil"/>
                <w:bottom w:val="nil"/>
                <w:right w:val="nil"/>
                <w:between w:val="nil"/>
              </w:pBdr>
              <w:spacing w:line="240" w:lineRule="auto"/>
              <w:jc w:val="center"/>
              <w:rPr>
                <w:rFonts w:ascii="Poppins" w:eastAsia="Poppins" w:hAnsi="Poppins" w:cs="Poppins"/>
                <w:b/>
                <w:bCs/>
                <w:sz w:val="20"/>
                <w:szCs w:val="20"/>
              </w:rPr>
            </w:pPr>
            <w:r>
              <w:rPr>
                <w:rFonts w:ascii="Poppins" w:eastAsia="Poppins" w:hAnsi="Poppins" w:cs="Poppins"/>
                <w:b/>
                <w:bCs/>
                <w:sz w:val="20"/>
                <w:szCs w:val="20"/>
              </w:rPr>
              <w:t>Description</w:t>
            </w:r>
          </w:p>
        </w:tc>
      </w:tr>
      <w:tr w:rsidR="00750E6E" w14:paraId="453CA8E9" w14:textId="77777777">
        <w:tc>
          <w:tcPr>
            <w:tcW w:w="1770" w:type="dxa"/>
            <w:tcMar>
              <w:top w:w="100" w:type="dxa"/>
              <w:left w:w="100" w:type="dxa"/>
              <w:bottom w:w="100" w:type="dxa"/>
              <w:right w:w="100" w:type="dxa"/>
            </w:tcMar>
          </w:tcPr>
          <w:p w14:paraId="379FFF2E"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 xml:space="preserve">Quarterly </w:t>
            </w:r>
          </w:p>
        </w:tc>
        <w:tc>
          <w:tcPr>
            <w:tcW w:w="2670" w:type="dxa"/>
            <w:tcMar>
              <w:top w:w="100" w:type="dxa"/>
              <w:left w:w="100" w:type="dxa"/>
              <w:bottom w:w="100" w:type="dxa"/>
              <w:right w:w="100" w:type="dxa"/>
            </w:tcMar>
          </w:tcPr>
          <w:p w14:paraId="100D5018"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 xml:space="preserve">School and District Administrators </w:t>
            </w:r>
          </w:p>
        </w:tc>
        <w:tc>
          <w:tcPr>
            <w:tcW w:w="3285" w:type="dxa"/>
            <w:tcMar>
              <w:top w:w="100" w:type="dxa"/>
              <w:left w:w="100" w:type="dxa"/>
              <w:bottom w:w="100" w:type="dxa"/>
              <w:right w:w="100" w:type="dxa"/>
            </w:tcMar>
          </w:tcPr>
          <w:p w14:paraId="69C66E06" w14:textId="77777777" w:rsidR="00750E6E"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sz w:val="20"/>
                <w:szCs w:val="20"/>
              </w:rPr>
              <w:t xml:space="preserve">Focus Visits </w:t>
            </w:r>
          </w:p>
          <w:p w14:paraId="7C77DD0E" w14:textId="77777777" w:rsidR="00750E6E"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 xml:space="preserve">(Onsite, in-person)  </w:t>
            </w:r>
          </w:p>
        </w:tc>
        <w:tc>
          <w:tcPr>
            <w:tcW w:w="5385" w:type="dxa"/>
            <w:tcMar>
              <w:top w:w="100" w:type="dxa"/>
              <w:left w:w="100" w:type="dxa"/>
              <w:bottom w:w="100" w:type="dxa"/>
              <w:right w:w="100" w:type="dxa"/>
            </w:tcMar>
          </w:tcPr>
          <w:p w14:paraId="1D684C1D"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 xml:space="preserve">Our work with school leaders/Leadership Teams centers on Focus Visits, which norm expectations for how a focus area looks and sounds in daily student learning while helping leaders determine ways to support teachers. </w:t>
            </w:r>
          </w:p>
        </w:tc>
      </w:tr>
      <w:tr w:rsidR="00750E6E" w14:paraId="29C9E265" w14:textId="77777777">
        <w:tc>
          <w:tcPr>
            <w:tcW w:w="1770" w:type="dxa"/>
            <w:tcMar>
              <w:top w:w="100" w:type="dxa"/>
              <w:left w:w="100" w:type="dxa"/>
              <w:bottom w:w="100" w:type="dxa"/>
              <w:right w:w="100" w:type="dxa"/>
            </w:tcMar>
          </w:tcPr>
          <w:p w14:paraId="4328CB36"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Semesterly</w:t>
            </w:r>
          </w:p>
        </w:tc>
        <w:tc>
          <w:tcPr>
            <w:tcW w:w="2670" w:type="dxa"/>
            <w:tcMar>
              <w:top w:w="100" w:type="dxa"/>
              <w:left w:w="100" w:type="dxa"/>
              <w:bottom w:w="100" w:type="dxa"/>
              <w:right w:w="100" w:type="dxa"/>
            </w:tcMar>
          </w:tcPr>
          <w:p w14:paraId="0F08A4EC"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District Administrators</w:t>
            </w:r>
          </w:p>
        </w:tc>
        <w:tc>
          <w:tcPr>
            <w:tcW w:w="3285" w:type="dxa"/>
            <w:tcMar>
              <w:top w:w="100" w:type="dxa"/>
              <w:left w:w="100" w:type="dxa"/>
              <w:bottom w:w="100" w:type="dxa"/>
              <w:right w:w="100" w:type="dxa"/>
            </w:tcMar>
          </w:tcPr>
          <w:p w14:paraId="59AB9E17" w14:textId="77777777" w:rsidR="00750E6E"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sz w:val="20"/>
                <w:szCs w:val="20"/>
              </w:rPr>
              <w:t xml:space="preserve">District Data Meetings </w:t>
            </w:r>
          </w:p>
          <w:p w14:paraId="27DCC694" w14:textId="77777777" w:rsidR="00750E6E"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 xml:space="preserve">(Virtual)  </w:t>
            </w:r>
          </w:p>
        </w:tc>
        <w:tc>
          <w:tcPr>
            <w:tcW w:w="5385" w:type="dxa"/>
            <w:tcMar>
              <w:top w:w="100" w:type="dxa"/>
              <w:left w:w="100" w:type="dxa"/>
              <w:bottom w:w="100" w:type="dxa"/>
              <w:right w:w="100" w:type="dxa"/>
            </w:tcMar>
          </w:tcPr>
          <w:p w14:paraId="5BBAD6A8"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In our work with district administrators, we analyze data related to the collaboratively developed professional learning plan, including observable evidence of student learning outcomes, artifacts for related instructional practices, data on the program’s platform usage, and records of service that our education consultants complete. Also available onsite, in-person.</w:t>
            </w:r>
          </w:p>
        </w:tc>
      </w:tr>
      <w:tr w:rsidR="00750E6E" w14:paraId="1A472EE2" w14:textId="77777777">
        <w:tc>
          <w:tcPr>
            <w:tcW w:w="1770" w:type="dxa"/>
            <w:tcMar>
              <w:top w:w="100" w:type="dxa"/>
              <w:left w:w="100" w:type="dxa"/>
              <w:bottom w:w="100" w:type="dxa"/>
              <w:right w:w="100" w:type="dxa"/>
            </w:tcMar>
          </w:tcPr>
          <w:p w14:paraId="40FEFDBB"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Spring</w:t>
            </w:r>
          </w:p>
        </w:tc>
        <w:tc>
          <w:tcPr>
            <w:tcW w:w="2670" w:type="dxa"/>
            <w:tcMar>
              <w:top w:w="100" w:type="dxa"/>
              <w:left w:w="100" w:type="dxa"/>
              <w:bottom w:w="100" w:type="dxa"/>
              <w:right w:w="100" w:type="dxa"/>
            </w:tcMar>
          </w:tcPr>
          <w:p w14:paraId="1158BBE3"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District Administrators</w:t>
            </w:r>
          </w:p>
        </w:tc>
        <w:tc>
          <w:tcPr>
            <w:tcW w:w="3285" w:type="dxa"/>
            <w:tcMar>
              <w:top w:w="100" w:type="dxa"/>
              <w:left w:w="100" w:type="dxa"/>
              <w:bottom w:w="100" w:type="dxa"/>
              <w:right w:w="100" w:type="dxa"/>
            </w:tcMar>
          </w:tcPr>
          <w:p w14:paraId="142CBBD9" w14:textId="77777777" w:rsidR="00750E6E"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Planning Session for Next Year</w:t>
            </w:r>
          </w:p>
          <w:p w14:paraId="132F3925" w14:textId="77777777" w:rsidR="00750E6E"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 xml:space="preserve">(Virtual) </w:t>
            </w:r>
          </w:p>
        </w:tc>
        <w:tc>
          <w:tcPr>
            <w:tcW w:w="5385" w:type="dxa"/>
            <w:tcMar>
              <w:top w:w="100" w:type="dxa"/>
              <w:left w:w="100" w:type="dxa"/>
              <w:bottom w:w="100" w:type="dxa"/>
              <w:right w:w="100" w:type="dxa"/>
            </w:tcMar>
          </w:tcPr>
          <w:p w14:paraId="15AFF498" w14:textId="77777777" w:rsidR="00750E6E" w:rsidRDefault="00000000">
            <w:pPr>
              <w:widowControl w:val="0"/>
              <w:pBdr>
                <w:top w:val="nil"/>
                <w:left w:val="nil"/>
                <w:bottom w:val="nil"/>
                <w:right w:val="nil"/>
                <w:between w:val="nil"/>
              </w:pBdr>
              <w:spacing w:line="240" w:lineRule="auto"/>
              <w:rPr>
                <w:rFonts w:ascii="Poppins" w:eastAsia="Poppins" w:hAnsi="Poppins" w:cs="Poppins"/>
                <w:sz w:val="20"/>
                <w:szCs w:val="20"/>
                <w:highlight w:val="white"/>
              </w:rPr>
            </w:pPr>
            <w:r>
              <w:rPr>
                <w:rFonts w:ascii="Poppins" w:eastAsia="Poppins" w:hAnsi="Poppins" w:cs="Poppins"/>
                <w:sz w:val="20"/>
                <w:szCs w:val="20"/>
                <w:highlight w:val="white"/>
              </w:rPr>
              <w:t>For Years 2 and beyond, we may facilitate a needs assessment</w:t>
            </w:r>
            <w:r>
              <w:rPr>
                <w:rFonts w:ascii="Poppins" w:eastAsia="Poppins" w:hAnsi="Poppins" w:cs="Poppins"/>
                <w:b/>
                <w:bCs/>
                <w:i/>
                <w:iCs/>
                <w:sz w:val="20"/>
                <w:szCs w:val="20"/>
                <w:highlight w:val="white"/>
              </w:rPr>
              <w:t xml:space="preserve"> </w:t>
            </w:r>
            <w:r>
              <w:rPr>
                <w:rFonts w:ascii="Poppins" w:eastAsia="Poppins" w:hAnsi="Poppins" w:cs="Poppins"/>
                <w:sz w:val="20"/>
                <w:szCs w:val="20"/>
                <w:highlight w:val="white"/>
              </w:rPr>
              <w:t xml:space="preserve">at the close of the prior school year and, in a planning session with district leadership, use that data to identify and guide focus areas for the following school year. </w:t>
            </w:r>
            <w:r>
              <w:rPr>
                <w:rFonts w:ascii="Poppins" w:eastAsia="Poppins" w:hAnsi="Poppins" w:cs="Poppins"/>
                <w:sz w:val="20"/>
                <w:szCs w:val="20"/>
              </w:rPr>
              <w:t>Also available onsite, in-person.</w:t>
            </w:r>
          </w:p>
        </w:tc>
      </w:tr>
      <w:tr w:rsidR="00750E6E" w14:paraId="29B1C8FE" w14:textId="77777777">
        <w:tc>
          <w:tcPr>
            <w:tcW w:w="1770" w:type="dxa"/>
            <w:tcMar>
              <w:top w:w="100" w:type="dxa"/>
              <w:left w:w="100" w:type="dxa"/>
              <w:bottom w:w="100" w:type="dxa"/>
              <w:right w:w="100" w:type="dxa"/>
            </w:tcMar>
          </w:tcPr>
          <w:p w14:paraId="37DE4867" w14:textId="77777777" w:rsidR="00750E6E"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Lifetime of the Adoption </w:t>
            </w:r>
          </w:p>
        </w:tc>
        <w:tc>
          <w:tcPr>
            <w:tcW w:w="2670" w:type="dxa"/>
            <w:tcMar>
              <w:top w:w="100" w:type="dxa"/>
              <w:left w:w="100" w:type="dxa"/>
              <w:bottom w:w="100" w:type="dxa"/>
              <w:right w:w="100" w:type="dxa"/>
            </w:tcMar>
          </w:tcPr>
          <w:p w14:paraId="658C6903" w14:textId="77777777" w:rsidR="00750E6E"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Teachers, Coaches, and Administrators </w:t>
            </w:r>
          </w:p>
        </w:tc>
        <w:tc>
          <w:tcPr>
            <w:tcW w:w="3285" w:type="dxa"/>
            <w:tcMar>
              <w:top w:w="100" w:type="dxa"/>
              <w:left w:w="100" w:type="dxa"/>
              <w:bottom w:w="100" w:type="dxa"/>
              <w:right w:w="100" w:type="dxa"/>
            </w:tcMar>
          </w:tcPr>
          <w:p w14:paraId="56A590E0" w14:textId="77777777" w:rsidR="00750E6E" w:rsidRDefault="00000000">
            <w:pPr>
              <w:spacing w:line="240" w:lineRule="auto"/>
              <w:jc w:val="center"/>
              <w:rPr>
                <w:rFonts w:ascii="Poppins" w:eastAsia="Poppins" w:hAnsi="Poppins" w:cs="Poppins"/>
                <w:sz w:val="20"/>
                <w:szCs w:val="20"/>
              </w:rPr>
            </w:pPr>
            <w:proofErr w:type="spellStart"/>
            <w:r>
              <w:rPr>
                <w:rFonts w:ascii="Poppins" w:eastAsia="Poppins" w:hAnsi="Poppins" w:cs="Poppins"/>
                <w:sz w:val="20"/>
                <w:szCs w:val="20"/>
              </w:rPr>
              <w:t>mySavvasTraining</w:t>
            </w:r>
            <w:proofErr w:type="spellEnd"/>
          </w:p>
          <w:p w14:paraId="28B3B3B9" w14:textId="77777777" w:rsidR="00750E6E"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(Asynchronous, On-Demand)</w:t>
            </w:r>
          </w:p>
        </w:tc>
        <w:tc>
          <w:tcPr>
            <w:tcW w:w="5385" w:type="dxa"/>
            <w:tcMar>
              <w:top w:w="100" w:type="dxa"/>
              <w:left w:w="100" w:type="dxa"/>
              <w:bottom w:w="100" w:type="dxa"/>
              <w:right w:w="100" w:type="dxa"/>
            </w:tcMar>
          </w:tcPr>
          <w:p w14:paraId="11028B97" w14:textId="77777777" w:rsidR="00750E6E" w:rsidRDefault="00000000">
            <w:pPr>
              <w:spacing w:line="240" w:lineRule="auto"/>
              <w:rPr>
                <w:rFonts w:ascii="Poppins" w:eastAsia="Poppins" w:hAnsi="Poppins" w:cs="Poppins"/>
                <w:sz w:val="20"/>
                <w:szCs w:val="20"/>
              </w:rPr>
            </w:pPr>
            <w:r>
              <w:rPr>
                <w:rFonts w:ascii="Poppins" w:eastAsia="Poppins" w:hAnsi="Poppins" w:cs="Poppins"/>
                <w:sz w:val="20"/>
                <w:szCs w:val="20"/>
              </w:rPr>
              <w:t xml:space="preserve">Additionally, 24/7 professional learning online courses, tutorials, and recorded webinars are </w:t>
            </w:r>
            <w:r>
              <w:rPr>
                <w:rFonts w:ascii="Poppins" w:eastAsia="Poppins" w:hAnsi="Poppins" w:cs="Poppins"/>
                <w:sz w:val="20"/>
                <w:szCs w:val="20"/>
              </w:rPr>
              <w:lastRenderedPageBreak/>
              <w:t>available for access at any time at</w:t>
            </w:r>
            <w:hyperlink r:id="rId8">
              <w:r>
                <w:rPr>
                  <w:rFonts w:ascii="Poppins" w:eastAsia="Poppins" w:hAnsi="Poppins" w:cs="Poppins"/>
                  <w:color w:val="1155CC"/>
                  <w:sz w:val="20"/>
                  <w:szCs w:val="20"/>
                </w:rPr>
                <w:t xml:space="preserve"> </w:t>
              </w:r>
            </w:hyperlink>
            <w:hyperlink r:id="rId9">
              <w:r>
                <w:rPr>
                  <w:rFonts w:ascii="Poppins" w:eastAsia="Poppins" w:hAnsi="Poppins" w:cs="Poppins"/>
                  <w:color w:val="1155CC"/>
                  <w:sz w:val="20"/>
                  <w:szCs w:val="20"/>
                  <w:u w:val="single"/>
                </w:rPr>
                <w:t>www.mysavvastraining.com</w:t>
              </w:r>
            </w:hyperlink>
            <w:r>
              <w:rPr>
                <w:rFonts w:ascii="Poppins" w:eastAsia="Poppins" w:hAnsi="Poppins" w:cs="Poppins"/>
                <w:sz w:val="20"/>
                <w:szCs w:val="20"/>
                <w:u w:val="single"/>
              </w:rPr>
              <w:t>.</w:t>
            </w:r>
            <w:r>
              <w:rPr>
                <w:rFonts w:ascii="Poppins" w:eastAsia="Poppins" w:hAnsi="Poppins" w:cs="Poppins"/>
                <w:sz w:val="20"/>
                <w:szCs w:val="20"/>
              </w:rPr>
              <w:t xml:space="preserve"> </w:t>
            </w:r>
            <w:proofErr w:type="gramStart"/>
            <w:r>
              <w:rPr>
                <w:rFonts w:ascii="Poppins" w:eastAsia="Poppins" w:hAnsi="Poppins" w:cs="Poppins"/>
                <w:sz w:val="20"/>
                <w:szCs w:val="20"/>
              </w:rPr>
              <w:t>This rich</w:t>
            </w:r>
            <w:proofErr w:type="gramEnd"/>
            <w:r>
              <w:rPr>
                <w:rFonts w:ascii="Poppins" w:eastAsia="Poppins" w:hAnsi="Poppins" w:cs="Poppins"/>
                <w:sz w:val="20"/>
                <w:szCs w:val="20"/>
              </w:rPr>
              <w:t xml:space="preserve"> on-demand resource provides support for your Savvas program as well as our hosting platform, Savvas Realize. Progress through the online materials is self-paced. </w:t>
            </w:r>
            <w:proofErr w:type="spellStart"/>
            <w:r>
              <w:rPr>
                <w:rFonts w:ascii="Poppins" w:eastAsia="Poppins" w:hAnsi="Poppins" w:cs="Poppins"/>
                <w:sz w:val="20"/>
                <w:szCs w:val="20"/>
              </w:rPr>
              <w:t>mySavvasTraining</w:t>
            </w:r>
            <w:proofErr w:type="spellEnd"/>
            <w:r>
              <w:rPr>
                <w:rFonts w:ascii="Poppins" w:eastAsia="Poppins" w:hAnsi="Poppins" w:cs="Poppins"/>
                <w:sz w:val="20"/>
                <w:szCs w:val="20"/>
              </w:rPr>
              <w:t xml:space="preserve"> is available to all program users and may be used as a refresher at will.</w:t>
            </w:r>
          </w:p>
        </w:tc>
      </w:tr>
    </w:tbl>
    <w:p w14:paraId="24788766" w14:textId="77777777" w:rsidR="00750E6E" w:rsidRDefault="00750E6E">
      <w:pPr>
        <w:spacing w:line="240" w:lineRule="auto"/>
        <w:rPr>
          <w:rFonts w:ascii="Poppins" w:eastAsia="Poppins" w:hAnsi="Poppins" w:cs="Poppins"/>
          <w:sz w:val="20"/>
          <w:szCs w:val="20"/>
        </w:rPr>
      </w:pPr>
    </w:p>
    <w:p w14:paraId="3EEF26B3" w14:textId="77777777" w:rsidR="00750E6E" w:rsidRDefault="00750E6E">
      <w:pPr>
        <w:spacing w:line="240" w:lineRule="auto"/>
        <w:jc w:val="center"/>
        <w:rPr>
          <w:rFonts w:ascii="Poppins" w:eastAsia="Poppins" w:hAnsi="Poppins" w:cs="Poppins"/>
          <w:sz w:val="20"/>
          <w:szCs w:val="20"/>
        </w:rPr>
      </w:pPr>
    </w:p>
    <w:p w14:paraId="77AC8847" w14:textId="77777777" w:rsidR="00750E6E" w:rsidRDefault="00750E6E">
      <w:pPr>
        <w:spacing w:line="240" w:lineRule="auto"/>
        <w:rPr>
          <w:rFonts w:ascii="Poppins" w:eastAsia="Poppins" w:hAnsi="Poppins" w:cs="Poppins"/>
          <w:sz w:val="20"/>
          <w:szCs w:val="20"/>
        </w:rPr>
      </w:pPr>
    </w:p>
    <w:sectPr w:rsidR="00750E6E">
      <w:headerReference w:type="default" r:id="rId10"/>
      <w:footerReference w:type="default" r:id="rId1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7084B4" w14:textId="77777777" w:rsidR="00853AEB" w:rsidRDefault="00853AEB">
      <w:pPr>
        <w:spacing w:line="240" w:lineRule="auto"/>
      </w:pPr>
      <w:r>
        <w:separator/>
      </w:r>
    </w:p>
  </w:endnote>
  <w:endnote w:type="continuationSeparator" w:id="0">
    <w:p w14:paraId="4BE44602" w14:textId="77777777" w:rsidR="00853AEB" w:rsidRDefault="00853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85E49A4-3FCB-F143-855B-068F913E650F}"/>
  </w:font>
  <w:font w:name="Arial">
    <w:panose1 w:val="020B0604020202020204"/>
    <w:charset w:val="00"/>
    <w:family w:val="swiss"/>
    <w:pitch w:val="variable"/>
    <w:sig w:usb0="E0002EFF" w:usb1="C000785B" w:usb2="00000009" w:usb3="00000000" w:csb0="000001FF" w:csb1="00000000"/>
    <w:embedRegular r:id="rId2" w:fontKey="{47C71F0E-1D65-3640-A584-67EDB597BDF0}"/>
    <w:embedItalic r:id="rId3" w:fontKey="{FE16671F-5D3C-5A4C-9120-E74B880FAFD6}"/>
  </w:font>
  <w:font w:name="Poppins">
    <w:panose1 w:val="020B0604020202020204"/>
    <w:charset w:val="4D"/>
    <w:family w:val="auto"/>
    <w:pitch w:val="variable"/>
    <w:sig w:usb0="00008007" w:usb1="00000000" w:usb2="00000000" w:usb3="00000000" w:csb0="00000093" w:csb1="00000000"/>
    <w:embedRegular r:id="rId4" w:fontKey="{3CEF7E74-70BD-4748-BBA2-23B17A7D0B15}"/>
    <w:embedBold r:id="rId5" w:fontKey="{D575FCAC-47AD-FD42-88EE-9202A9EAF0B1}"/>
    <w:embedItalic r:id="rId6" w:fontKey="{57D2DBB3-A4B5-4243-AA80-4EC9A557031F}"/>
    <w:embedBoldItalic r:id="rId7" w:fontKey="{81B2FD24-F63D-6B4C-A4A9-4B6F8F776697}"/>
  </w:font>
  <w:font w:name="Poppins SemiBold">
    <w:panose1 w:val="000007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8" w:fontKey="{AAF4B7E8-35E2-A44F-A7B0-02144EE41D34}"/>
  </w:font>
  <w:font w:name="Cambria">
    <w:panose1 w:val="02040503050406030204"/>
    <w:charset w:val="00"/>
    <w:family w:val="roman"/>
    <w:pitch w:val="variable"/>
    <w:sig w:usb0="E00006FF" w:usb1="420024FF" w:usb2="02000000" w:usb3="00000000" w:csb0="0000019F" w:csb1="00000000"/>
    <w:embedRegular r:id="rId9" w:fontKey="{03FD3D44-095B-6D46-A43E-55FEDB3BDE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C99912" w14:textId="77777777" w:rsidR="00750E6E" w:rsidRDefault="00000000">
    <w:r>
      <w:rPr>
        <w:noProof/>
      </w:rPr>
      <w:drawing>
        <wp:anchor distT="114300" distB="114300" distL="114300" distR="114300" simplePos="0" relativeHeight="251658240" behindDoc="0" locked="0" layoutInCell="1" hidden="0" allowOverlap="1" wp14:anchorId="5DB57E5F" wp14:editId="16BDFAC6">
          <wp:simplePos x="0" y="0"/>
          <wp:positionH relativeFrom="column">
            <wp:posOffset>114300</wp:posOffset>
          </wp:positionH>
          <wp:positionV relativeFrom="paragraph">
            <wp:posOffset>114300</wp:posOffset>
          </wp:positionV>
          <wp:extent cx="646804" cy="247650"/>
          <wp:effectExtent l="0" t="0" r="0" b="0"/>
          <wp:wrapTopAndBottom distT="114300" distB="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6804" cy="2476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148ED1" w14:textId="77777777" w:rsidR="00853AEB" w:rsidRDefault="00853AEB">
      <w:pPr>
        <w:spacing w:line="240" w:lineRule="auto"/>
      </w:pPr>
      <w:r>
        <w:separator/>
      </w:r>
    </w:p>
  </w:footnote>
  <w:footnote w:type="continuationSeparator" w:id="0">
    <w:p w14:paraId="1D617523" w14:textId="77777777" w:rsidR="00853AEB" w:rsidRDefault="00853AEB">
      <w:pPr>
        <w:spacing w:line="240" w:lineRule="auto"/>
      </w:pPr>
      <w:r>
        <w:continuationSeparator/>
      </w:r>
    </w:p>
  </w:footnote>
  <w:footnote w:id="1">
    <w:p w14:paraId="114A45DD" w14:textId="77777777" w:rsidR="00750E6E" w:rsidRDefault="00000000">
      <w:pPr>
        <w:spacing w:line="240" w:lineRule="auto"/>
        <w:rPr>
          <w:rFonts w:ascii="Poppins" w:eastAsia="Poppins" w:hAnsi="Poppins" w:cs="Poppins"/>
          <w:sz w:val="20"/>
          <w:szCs w:val="20"/>
        </w:rPr>
      </w:pPr>
      <w:r>
        <w:rPr>
          <w:vertAlign w:val="superscript"/>
        </w:rPr>
        <w:footnoteRef/>
      </w:r>
      <w:r>
        <w:rPr>
          <w:rFonts w:ascii="Poppins" w:eastAsia="Poppins" w:hAnsi="Poppins" w:cs="Poppins"/>
          <w:sz w:val="20"/>
          <w:szCs w:val="20"/>
        </w:rPr>
        <w:t xml:space="preserve"> Includes any travel related expenses,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B1ADA2" w14:textId="77777777" w:rsidR="00750E6E" w:rsidRDefault="00000000">
    <w:pPr>
      <w:rPr>
        <w:rFonts w:ascii="Poppins" w:eastAsia="Poppins" w:hAnsi="Poppins" w:cs="Poppins"/>
      </w:rPr>
    </w:pPr>
    <w:r>
      <w:rPr>
        <w:rFonts w:ascii="Poppins" w:eastAsia="Poppins" w:hAnsi="Poppins" w:cs="Poppins"/>
      </w:rPr>
      <w:t xml:space="preserve">(If you would like, you can add your logo here - any requirements for size, </w:t>
    </w:r>
    <w:proofErr w:type="spellStart"/>
    <w:r>
      <w:rPr>
        <w:rFonts w:ascii="Poppins" w:eastAsia="Poppins" w:hAnsi="Poppins" w:cs="Poppins"/>
      </w:rPr>
      <w:t>etc</w:t>
    </w:r>
    <w:proofErr w:type="spellEnd"/>
    <w:r>
      <w:rPr>
        <w:rFonts w:ascii="Poppins" w:eastAsia="Poppins" w:hAnsi="Poppins" w:cs="Poppin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0A5261"/>
    <w:multiLevelType w:val="multilevel"/>
    <w:tmpl w:val="476C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F57A8B"/>
    <w:multiLevelType w:val="multilevel"/>
    <w:tmpl w:val="EFE4B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0723829">
    <w:abstractNumId w:val="1"/>
  </w:num>
  <w:num w:numId="2" w16cid:durableId="18491299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E6E"/>
    <w:rsid w:val="00423676"/>
    <w:rsid w:val="00750E6E"/>
    <w:rsid w:val="00800661"/>
    <w:rsid w:val="00853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52F9FD"/>
  <w15:docId w15:val="{39628A3A-A815-FB44-AE37-CA560ECA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ypearsontraining.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ypearsontraining.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Curry, Marianna</cp:lastModifiedBy>
  <cp:revision>2</cp:revision>
  <dcterms:created xsi:type="dcterms:W3CDTF">2026-06-29T17:51:00Z</dcterms:created>
  <dcterms:modified xsi:type="dcterms:W3CDTF">2026-06-29T17:51:00Z</dcterms:modified>
</cp:coreProperties>
</file>