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EC415F" w14:textId="77777777" w:rsidR="0005179D" w:rsidRDefault="00000000">
      <w:pPr>
        <w:spacing w:line="240" w:lineRule="auto"/>
        <w:jc w:val="center"/>
        <w:rPr>
          <w:rFonts w:ascii="Poppins" w:eastAsia="Poppins" w:hAnsi="Poppins" w:cs="Poppins"/>
          <w:b/>
          <w:bCs/>
          <w:sz w:val="24"/>
          <w:szCs w:val="24"/>
        </w:rPr>
      </w:pPr>
      <w:r>
        <w:rPr>
          <w:rFonts w:ascii="Poppins" w:eastAsia="Poppins" w:hAnsi="Poppins" w:cs="Poppins"/>
          <w:b/>
          <w:bCs/>
          <w:sz w:val="24"/>
          <w:szCs w:val="24"/>
        </w:rPr>
        <w:t>Sample Scope and Sequence of Professional Learning Engagement</w:t>
      </w:r>
      <w:r>
        <w:rPr>
          <w:noProof/>
        </w:rPr>
        <w:drawing>
          <wp:anchor distT="114300" distB="114300" distL="114300" distR="114300" simplePos="0" relativeHeight="251658240" behindDoc="0" locked="0" layoutInCell="1" hidden="0" allowOverlap="1" wp14:anchorId="0C82E858" wp14:editId="15183929">
            <wp:simplePos x="0" y="0"/>
            <wp:positionH relativeFrom="column">
              <wp:posOffset>-266699</wp:posOffset>
            </wp:positionH>
            <wp:positionV relativeFrom="paragraph">
              <wp:posOffset>114300</wp:posOffset>
            </wp:positionV>
            <wp:extent cx="2919413" cy="659404"/>
            <wp:effectExtent l="0" t="0" r="0" b="0"/>
            <wp:wrapTopAndBottom distT="114300" distB="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919413" cy="659404"/>
                    </a:xfrm>
                    <a:prstGeom prst="rect">
                      <a:avLst/>
                    </a:prstGeom>
                    <a:ln/>
                  </pic:spPr>
                </pic:pic>
              </a:graphicData>
            </a:graphic>
          </wp:anchor>
        </w:drawing>
      </w:r>
    </w:p>
    <w:p w14:paraId="7C94ACC1" w14:textId="77777777" w:rsidR="0005179D" w:rsidRDefault="0005179D">
      <w:pPr>
        <w:spacing w:line="240" w:lineRule="auto"/>
        <w:jc w:val="center"/>
        <w:rPr>
          <w:rFonts w:ascii="Poppins" w:eastAsia="Poppins" w:hAnsi="Poppins" w:cs="Poppins"/>
          <w:b/>
          <w:bCs/>
          <w:sz w:val="24"/>
          <w:szCs w:val="24"/>
        </w:rPr>
      </w:pPr>
    </w:p>
    <w:p w14:paraId="6EB460BF" w14:textId="77777777" w:rsidR="0005179D" w:rsidRDefault="00000000">
      <w:pPr>
        <w:spacing w:line="240" w:lineRule="auto"/>
        <w:rPr>
          <w:rFonts w:ascii="Poppins" w:eastAsia="Poppins" w:hAnsi="Poppins" w:cs="Poppins"/>
          <w:sz w:val="20"/>
          <w:szCs w:val="20"/>
        </w:rPr>
      </w:pPr>
      <w:r>
        <w:rPr>
          <w:rFonts w:ascii="Poppins" w:eastAsia="Poppins" w:hAnsi="Poppins" w:cs="Poppins"/>
          <w:sz w:val="20"/>
          <w:szCs w:val="20"/>
        </w:rPr>
        <w:t>In this document, you will provide information on a sample scope and sequence of a professional learning engagement. This engagement should represent work done with a past client.</w:t>
      </w:r>
    </w:p>
    <w:p w14:paraId="18F06A2A" w14:textId="77777777" w:rsidR="0005179D" w:rsidRDefault="0005179D">
      <w:pPr>
        <w:spacing w:line="240" w:lineRule="auto"/>
        <w:rPr>
          <w:rFonts w:ascii="Poppins" w:eastAsia="Poppins" w:hAnsi="Poppins" w:cs="Poppins"/>
          <w:i/>
          <w:iCs/>
          <w:sz w:val="20"/>
          <w:szCs w:val="20"/>
        </w:rPr>
      </w:pPr>
    </w:p>
    <w:p w14:paraId="5A257A97" w14:textId="77777777" w:rsidR="0005179D" w:rsidRDefault="00000000">
      <w:pPr>
        <w:spacing w:line="240" w:lineRule="auto"/>
        <w:rPr>
          <w:rFonts w:ascii="Poppins" w:eastAsia="Poppins" w:hAnsi="Poppins" w:cs="Poppins"/>
          <w:sz w:val="20"/>
          <w:szCs w:val="20"/>
        </w:rPr>
      </w:pPr>
      <w:r>
        <w:rPr>
          <w:rFonts w:ascii="Poppins" w:eastAsia="Poppins" w:hAnsi="Poppins" w:cs="Poppins"/>
          <w:i/>
          <w:iCs/>
          <w:sz w:val="20"/>
          <w:szCs w:val="20"/>
        </w:rPr>
        <w:t xml:space="preserve">For example, if you had a </w:t>
      </w:r>
      <w:proofErr w:type="gramStart"/>
      <w:r>
        <w:rPr>
          <w:rFonts w:ascii="Poppins" w:eastAsia="Poppins" w:hAnsi="Poppins" w:cs="Poppins"/>
          <w:i/>
          <w:iCs/>
          <w:sz w:val="20"/>
          <w:szCs w:val="20"/>
        </w:rPr>
        <w:t>two year</w:t>
      </w:r>
      <w:proofErr w:type="gramEnd"/>
      <w:r>
        <w:rPr>
          <w:rFonts w:ascii="Poppins" w:eastAsia="Poppins" w:hAnsi="Poppins" w:cs="Poppins"/>
          <w:i/>
          <w:iCs/>
          <w:sz w:val="20"/>
          <w:szCs w:val="20"/>
        </w:rPr>
        <w:t xml:space="preserve"> engagement that included Adoption, Initial Implementation, and Ongoing Support for Teachers with Applewhite School District, you would complete a separate template for each one of those types of professional </w:t>
      </w:r>
      <w:proofErr w:type="gramStart"/>
      <w:r>
        <w:rPr>
          <w:rFonts w:ascii="Poppins" w:eastAsia="Poppins" w:hAnsi="Poppins" w:cs="Poppins"/>
          <w:i/>
          <w:iCs/>
          <w:sz w:val="20"/>
          <w:szCs w:val="20"/>
        </w:rPr>
        <w:t>learning, and</w:t>
      </w:r>
      <w:proofErr w:type="gramEnd"/>
      <w:r>
        <w:rPr>
          <w:rFonts w:ascii="Poppins" w:eastAsia="Poppins" w:hAnsi="Poppins" w:cs="Poppins"/>
          <w:i/>
          <w:iCs/>
          <w:sz w:val="20"/>
          <w:szCs w:val="20"/>
        </w:rPr>
        <w:t xml:space="preserve"> include the scope (what you covered) and sequence (timeline)</w:t>
      </w:r>
      <w:r>
        <w:rPr>
          <w:rFonts w:ascii="Poppins" w:eastAsia="Poppins" w:hAnsi="Poppins" w:cs="Poppins"/>
          <w:sz w:val="20"/>
          <w:szCs w:val="20"/>
        </w:rPr>
        <w:t>.</w:t>
      </w:r>
    </w:p>
    <w:p w14:paraId="6ADCC892" w14:textId="77777777" w:rsidR="0005179D" w:rsidRDefault="0005179D">
      <w:pPr>
        <w:spacing w:line="240" w:lineRule="auto"/>
        <w:rPr>
          <w:rFonts w:ascii="Poppins" w:eastAsia="Poppins" w:hAnsi="Poppins" w:cs="Poppins"/>
          <w:sz w:val="20"/>
          <w:szCs w:val="20"/>
        </w:rPr>
      </w:pPr>
    </w:p>
    <w:p w14:paraId="33078173" w14:textId="77777777" w:rsidR="0005179D" w:rsidRDefault="00000000">
      <w:pPr>
        <w:spacing w:line="240" w:lineRule="auto"/>
        <w:jc w:val="center"/>
        <w:rPr>
          <w:rFonts w:ascii="Poppins" w:eastAsia="Poppins" w:hAnsi="Poppins" w:cs="Poppins"/>
          <w:sz w:val="20"/>
          <w:szCs w:val="20"/>
        </w:rPr>
      </w:pPr>
      <w:r>
        <w:rPr>
          <w:rFonts w:ascii="Poppins SemiBold" w:eastAsia="Poppins SemiBold" w:hAnsi="Poppins SemiBold" w:cs="Poppins SemiBold"/>
          <w:color w:val="FF0000"/>
          <w:sz w:val="20"/>
          <w:szCs w:val="20"/>
        </w:rPr>
        <w:t>This overview represents the services for one client of the professional learning partner.</w:t>
      </w:r>
    </w:p>
    <w:tbl>
      <w:tblPr>
        <w:tblStyle w:val="a"/>
        <w:tblW w:w="12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3855"/>
        <w:gridCol w:w="1830"/>
        <w:gridCol w:w="3615"/>
      </w:tblGrid>
      <w:tr w:rsidR="0005179D" w14:paraId="55EB2E9D" w14:textId="77777777">
        <w:trPr>
          <w:trHeight w:val="440"/>
        </w:trPr>
        <w:tc>
          <w:tcPr>
            <w:tcW w:w="3630" w:type="dxa"/>
            <w:shd w:val="clear" w:color="auto" w:fill="D9D9D9"/>
            <w:tcMar>
              <w:top w:w="100" w:type="dxa"/>
              <w:left w:w="100" w:type="dxa"/>
              <w:bottom w:w="100" w:type="dxa"/>
              <w:right w:w="100" w:type="dxa"/>
            </w:tcMar>
          </w:tcPr>
          <w:p w14:paraId="41FDEEB8" w14:textId="77777777" w:rsidR="0005179D" w:rsidRDefault="00000000">
            <w:pPr>
              <w:widowControl w:val="0"/>
              <w:spacing w:line="240" w:lineRule="auto"/>
              <w:rPr>
                <w:rFonts w:ascii="Poppins" w:eastAsia="Poppins" w:hAnsi="Poppins" w:cs="Poppins"/>
                <w:sz w:val="20"/>
                <w:szCs w:val="20"/>
              </w:rPr>
            </w:pPr>
            <w:r>
              <w:rPr>
                <w:rFonts w:ascii="Poppins" w:eastAsia="Poppins" w:hAnsi="Poppins" w:cs="Poppins"/>
                <w:b/>
                <w:bCs/>
                <w:sz w:val="20"/>
                <w:szCs w:val="20"/>
              </w:rPr>
              <w:t xml:space="preserve">Curriculum or Content Area </w:t>
            </w:r>
          </w:p>
        </w:tc>
        <w:tc>
          <w:tcPr>
            <w:tcW w:w="9300" w:type="dxa"/>
            <w:gridSpan w:val="3"/>
            <w:tcMar>
              <w:top w:w="100" w:type="dxa"/>
              <w:left w:w="100" w:type="dxa"/>
              <w:bottom w:w="100" w:type="dxa"/>
              <w:right w:w="100" w:type="dxa"/>
            </w:tcMar>
          </w:tcPr>
          <w:p w14:paraId="45BBEFCC" w14:textId="77777777" w:rsidR="0005179D" w:rsidRDefault="00000000">
            <w:pPr>
              <w:widowControl w:val="0"/>
              <w:spacing w:line="240" w:lineRule="auto"/>
              <w:rPr>
                <w:rFonts w:ascii="Poppins" w:eastAsia="Poppins" w:hAnsi="Poppins" w:cs="Poppins"/>
                <w:sz w:val="20"/>
                <w:szCs w:val="20"/>
              </w:rPr>
            </w:pPr>
            <w:r>
              <w:rPr>
                <w:rFonts w:ascii="Poppins" w:eastAsia="Poppins" w:hAnsi="Poppins" w:cs="Poppins"/>
                <w:i/>
                <w:iCs/>
                <w:sz w:val="20"/>
                <w:szCs w:val="20"/>
              </w:rPr>
              <w:t>myPerspectives</w:t>
            </w:r>
            <w:r>
              <w:rPr>
                <w:rFonts w:ascii="Poppins" w:eastAsia="Poppins" w:hAnsi="Poppins" w:cs="Poppins"/>
                <w:sz w:val="20"/>
                <w:szCs w:val="20"/>
              </w:rPr>
              <w:t>, Grades 6-12</w:t>
            </w:r>
          </w:p>
        </w:tc>
      </w:tr>
      <w:tr w:rsidR="0005179D" w14:paraId="669F11A4" w14:textId="77777777">
        <w:trPr>
          <w:trHeight w:val="750"/>
        </w:trPr>
        <w:tc>
          <w:tcPr>
            <w:tcW w:w="3630" w:type="dxa"/>
            <w:shd w:val="clear" w:color="auto" w:fill="D9D9D9"/>
            <w:tcMar>
              <w:top w:w="100" w:type="dxa"/>
              <w:left w:w="100" w:type="dxa"/>
              <w:bottom w:w="100" w:type="dxa"/>
              <w:right w:w="100" w:type="dxa"/>
            </w:tcMar>
          </w:tcPr>
          <w:p w14:paraId="3A681E25" w14:textId="77777777" w:rsidR="0005179D" w:rsidRDefault="00000000">
            <w:pPr>
              <w:widowControl w:val="0"/>
              <w:spacing w:line="240" w:lineRule="auto"/>
              <w:rPr>
                <w:rFonts w:ascii="Poppins" w:eastAsia="Poppins" w:hAnsi="Poppins" w:cs="Poppins"/>
                <w:b/>
                <w:bCs/>
                <w:sz w:val="20"/>
                <w:szCs w:val="20"/>
              </w:rPr>
            </w:pPr>
            <w:r>
              <w:rPr>
                <w:rFonts w:ascii="Poppins" w:eastAsia="Poppins" w:hAnsi="Poppins" w:cs="Poppins"/>
                <w:b/>
                <w:bCs/>
                <w:sz w:val="20"/>
                <w:szCs w:val="20"/>
              </w:rPr>
              <w:t xml:space="preserve">Type of Professional Learning </w:t>
            </w:r>
          </w:p>
          <w:p w14:paraId="47593481" w14:textId="77777777" w:rsidR="0005179D" w:rsidRDefault="0005179D">
            <w:pPr>
              <w:widowControl w:val="0"/>
              <w:spacing w:line="240" w:lineRule="auto"/>
              <w:rPr>
                <w:rFonts w:ascii="Poppins" w:eastAsia="Poppins" w:hAnsi="Poppins" w:cs="Poppins"/>
                <w:sz w:val="20"/>
                <w:szCs w:val="20"/>
              </w:rPr>
            </w:pPr>
          </w:p>
        </w:tc>
        <w:tc>
          <w:tcPr>
            <w:tcW w:w="9300" w:type="dxa"/>
            <w:gridSpan w:val="3"/>
            <w:tcBorders>
              <w:right w:val="single" w:sz="8" w:space="0" w:color="FFFFFF"/>
            </w:tcBorders>
            <w:tcMar>
              <w:top w:w="100" w:type="dxa"/>
              <w:left w:w="100" w:type="dxa"/>
              <w:bottom w:w="100" w:type="dxa"/>
              <w:right w:w="100" w:type="dxa"/>
            </w:tcMar>
          </w:tcPr>
          <w:p w14:paraId="44400225" w14:textId="77777777" w:rsidR="0005179D"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Ongoing for Teachers</w:t>
            </w:r>
          </w:p>
        </w:tc>
      </w:tr>
      <w:tr w:rsidR="0005179D" w14:paraId="48E51468" w14:textId="77777777">
        <w:trPr>
          <w:trHeight w:val="400"/>
        </w:trPr>
        <w:tc>
          <w:tcPr>
            <w:tcW w:w="3630" w:type="dxa"/>
            <w:shd w:val="clear" w:color="auto" w:fill="D9D9D9"/>
            <w:tcMar>
              <w:top w:w="100" w:type="dxa"/>
              <w:left w:w="100" w:type="dxa"/>
              <w:bottom w:w="100" w:type="dxa"/>
              <w:right w:w="100" w:type="dxa"/>
            </w:tcMar>
          </w:tcPr>
          <w:p w14:paraId="7F74B65D" w14:textId="77777777" w:rsidR="0005179D" w:rsidRDefault="00000000">
            <w:pPr>
              <w:widowControl w:val="0"/>
              <w:spacing w:line="240" w:lineRule="auto"/>
              <w:rPr>
                <w:rFonts w:ascii="Poppins" w:eastAsia="Poppins" w:hAnsi="Poppins" w:cs="Poppins"/>
                <w:b/>
                <w:bCs/>
                <w:sz w:val="20"/>
                <w:szCs w:val="20"/>
                <w:shd w:val="clear" w:color="auto" w:fill="D9D9D9"/>
              </w:rPr>
            </w:pPr>
            <w:r>
              <w:rPr>
                <w:rFonts w:ascii="Poppins" w:eastAsia="Poppins" w:hAnsi="Poppins" w:cs="Poppins"/>
                <w:b/>
                <w:bCs/>
                <w:sz w:val="20"/>
                <w:szCs w:val="20"/>
                <w:shd w:val="clear" w:color="auto" w:fill="D9D9D9"/>
              </w:rPr>
              <w:t>Total Cost Range</w:t>
            </w:r>
            <w:r>
              <w:rPr>
                <w:rFonts w:ascii="Poppins" w:eastAsia="Poppins" w:hAnsi="Poppins" w:cs="Poppins"/>
                <w:b/>
                <w:bCs/>
                <w:sz w:val="20"/>
                <w:szCs w:val="20"/>
                <w:shd w:val="clear" w:color="auto" w:fill="D9D9D9"/>
                <w:vertAlign w:val="superscript"/>
              </w:rPr>
              <w:footnoteReference w:id="1"/>
            </w:r>
          </w:p>
        </w:tc>
        <w:tc>
          <w:tcPr>
            <w:tcW w:w="3855" w:type="dxa"/>
            <w:tcBorders>
              <w:right w:val="single" w:sz="8" w:space="0" w:color="FFFFFF"/>
            </w:tcBorders>
            <w:tcMar>
              <w:top w:w="100" w:type="dxa"/>
              <w:left w:w="100" w:type="dxa"/>
              <w:bottom w:w="100" w:type="dxa"/>
              <w:right w:w="100" w:type="dxa"/>
            </w:tcMar>
          </w:tcPr>
          <w:p w14:paraId="3B84FC4E" w14:textId="77777777" w:rsidR="0005179D"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t>Less than $50,000</w:t>
            </w:r>
          </w:p>
          <w:p w14:paraId="77D0132D" w14:textId="77777777" w:rsidR="0005179D"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t>$50,000 - $100,000</w:t>
            </w:r>
          </w:p>
          <w:p w14:paraId="047C9332" w14:textId="77777777" w:rsidR="0005179D"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t>$100,001 - $500,000</w:t>
            </w:r>
          </w:p>
        </w:tc>
        <w:tc>
          <w:tcPr>
            <w:tcW w:w="1830" w:type="dxa"/>
            <w:tcBorders>
              <w:left w:val="single" w:sz="8" w:space="0" w:color="FFFFFF"/>
            </w:tcBorders>
            <w:tcMar>
              <w:top w:w="100" w:type="dxa"/>
              <w:left w:w="100" w:type="dxa"/>
              <w:bottom w:w="100" w:type="dxa"/>
              <w:right w:w="100" w:type="dxa"/>
            </w:tcMar>
          </w:tcPr>
          <w:p w14:paraId="3A27A394" w14:textId="77777777" w:rsidR="0005179D" w:rsidRDefault="0005179D">
            <w:pPr>
              <w:widowControl w:val="0"/>
              <w:spacing w:line="240" w:lineRule="auto"/>
              <w:ind w:left="720" w:hanging="360"/>
              <w:rPr>
                <w:rFonts w:ascii="Poppins" w:eastAsia="Poppins" w:hAnsi="Poppins" w:cs="Poppins"/>
                <w:sz w:val="20"/>
                <w:szCs w:val="20"/>
              </w:rPr>
            </w:pPr>
          </w:p>
        </w:tc>
        <w:tc>
          <w:tcPr>
            <w:tcW w:w="3615" w:type="dxa"/>
            <w:tcBorders>
              <w:left w:val="single" w:sz="8" w:space="0" w:color="FFFFFF"/>
            </w:tcBorders>
            <w:tcMar>
              <w:top w:w="100" w:type="dxa"/>
              <w:left w:w="100" w:type="dxa"/>
              <w:bottom w:w="100" w:type="dxa"/>
              <w:right w:w="100" w:type="dxa"/>
            </w:tcMar>
          </w:tcPr>
          <w:p w14:paraId="1DBB4A5F" w14:textId="77777777" w:rsidR="0005179D" w:rsidRDefault="00000000">
            <w:pPr>
              <w:widowControl w:val="0"/>
              <w:numPr>
                <w:ilvl w:val="0"/>
                <w:numId w:val="2"/>
              </w:numPr>
              <w:spacing w:line="240" w:lineRule="auto"/>
              <w:rPr>
                <w:rFonts w:ascii="Poppins" w:eastAsia="Poppins" w:hAnsi="Poppins" w:cs="Poppins"/>
                <w:sz w:val="20"/>
                <w:szCs w:val="20"/>
                <w:highlight w:val="white"/>
              </w:rPr>
            </w:pPr>
            <w:r>
              <w:rPr>
                <w:rFonts w:ascii="Poppins" w:eastAsia="Poppins" w:hAnsi="Poppins" w:cs="Poppins"/>
                <w:sz w:val="20"/>
                <w:szCs w:val="20"/>
                <w:highlight w:val="white"/>
              </w:rPr>
              <w:t>$500,001 - $1,000,000</w:t>
            </w:r>
          </w:p>
          <w:p w14:paraId="3520DDAD" w14:textId="77777777" w:rsidR="0005179D"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t>$1,000,000+</w:t>
            </w:r>
            <w:r>
              <w:rPr>
                <w:rFonts w:ascii="Poppins" w:eastAsia="Poppins" w:hAnsi="Poppins" w:cs="Poppins"/>
                <w:sz w:val="20"/>
                <w:szCs w:val="20"/>
              </w:rPr>
              <w:tab/>
            </w:r>
            <w:r>
              <w:rPr>
                <w:rFonts w:ascii="Poppins" w:eastAsia="Poppins" w:hAnsi="Poppins" w:cs="Poppins"/>
                <w:sz w:val="20"/>
                <w:szCs w:val="20"/>
              </w:rPr>
              <w:tab/>
            </w:r>
            <w:r>
              <w:rPr>
                <w:rFonts w:ascii="Poppins" w:eastAsia="Poppins" w:hAnsi="Poppins" w:cs="Poppins"/>
                <w:sz w:val="20"/>
                <w:szCs w:val="20"/>
              </w:rPr>
              <w:tab/>
            </w:r>
            <w:r>
              <w:rPr>
                <w:rFonts w:ascii="Poppins" w:eastAsia="Poppins" w:hAnsi="Poppins" w:cs="Poppins"/>
                <w:sz w:val="20"/>
                <w:szCs w:val="20"/>
              </w:rPr>
              <w:tab/>
            </w:r>
          </w:p>
        </w:tc>
      </w:tr>
      <w:tr w:rsidR="0005179D" w14:paraId="02529E61" w14:textId="77777777">
        <w:trPr>
          <w:trHeight w:val="400"/>
        </w:trPr>
        <w:tc>
          <w:tcPr>
            <w:tcW w:w="3630" w:type="dxa"/>
            <w:shd w:val="clear" w:color="auto" w:fill="D9D9D9"/>
            <w:tcMar>
              <w:top w:w="100" w:type="dxa"/>
              <w:left w:w="100" w:type="dxa"/>
              <w:bottom w:w="100" w:type="dxa"/>
              <w:right w:w="100" w:type="dxa"/>
            </w:tcMar>
          </w:tcPr>
          <w:p w14:paraId="174CBC77" w14:textId="77777777" w:rsidR="0005179D" w:rsidRDefault="00000000">
            <w:pPr>
              <w:widowControl w:val="0"/>
              <w:spacing w:line="240" w:lineRule="auto"/>
              <w:rPr>
                <w:rFonts w:ascii="Poppins" w:eastAsia="Poppins" w:hAnsi="Poppins" w:cs="Poppins"/>
                <w:b/>
                <w:bCs/>
                <w:sz w:val="20"/>
                <w:szCs w:val="20"/>
              </w:rPr>
            </w:pPr>
            <w:r>
              <w:rPr>
                <w:rFonts w:ascii="Poppins" w:eastAsia="Poppins" w:hAnsi="Poppins" w:cs="Poppins"/>
                <w:b/>
                <w:bCs/>
                <w:sz w:val="20"/>
                <w:szCs w:val="20"/>
              </w:rPr>
              <w:t>District Context</w:t>
            </w:r>
          </w:p>
          <w:p w14:paraId="75E6DD2C" w14:textId="77777777" w:rsidR="0005179D" w:rsidRDefault="00000000">
            <w:pPr>
              <w:widowControl w:val="0"/>
              <w:spacing w:line="240" w:lineRule="auto"/>
              <w:rPr>
                <w:rFonts w:ascii="Poppins" w:eastAsia="Poppins" w:hAnsi="Poppins" w:cs="Poppins"/>
                <w:b/>
                <w:bCs/>
                <w:sz w:val="20"/>
                <w:szCs w:val="20"/>
              </w:rPr>
            </w:pPr>
            <w:r>
              <w:rPr>
                <w:rFonts w:ascii="Poppins" w:eastAsia="Poppins" w:hAnsi="Poppins" w:cs="Poppins"/>
                <w:sz w:val="20"/>
                <w:szCs w:val="20"/>
              </w:rPr>
              <w:t xml:space="preserve">Size, type (urban, suburban, rural), number of teachers served, </w:t>
            </w:r>
            <w:r>
              <w:rPr>
                <w:rFonts w:ascii="Poppins" w:eastAsia="Poppins" w:hAnsi="Poppins" w:cs="Poppins"/>
                <w:sz w:val="20"/>
                <w:szCs w:val="20"/>
              </w:rPr>
              <w:lastRenderedPageBreak/>
              <w:t>overall goal of your engagement</w:t>
            </w:r>
          </w:p>
        </w:tc>
        <w:tc>
          <w:tcPr>
            <w:tcW w:w="9300" w:type="dxa"/>
            <w:gridSpan w:val="3"/>
            <w:tcBorders>
              <w:right w:val="single" w:sz="8" w:space="0" w:color="FFFFFF"/>
            </w:tcBorders>
            <w:tcMar>
              <w:top w:w="100" w:type="dxa"/>
              <w:left w:w="100" w:type="dxa"/>
              <w:bottom w:w="100" w:type="dxa"/>
              <w:right w:w="100" w:type="dxa"/>
            </w:tcMar>
          </w:tcPr>
          <w:p w14:paraId="34BFC6D0" w14:textId="77777777" w:rsidR="0005179D"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lastRenderedPageBreak/>
              <w:t>District Context:</w:t>
            </w:r>
          </w:p>
          <w:p w14:paraId="3C3AEDB5" w14:textId="77777777" w:rsidR="0005179D"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t>Urban</w:t>
            </w:r>
          </w:p>
          <w:p w14:paraId="3BBE11EB" w14:textId="77777777" w:rsidR="0005179D"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t>55 Middle and High Schools</w:t>
            </w:r>
          </w:p>
          <w:p w14:paraId="05C2440F" w14:textId="77777777" w:rsidR="0005179D"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lastRenderedPageBreak/>
              <w:t>600 Teachers &amp; Administrators</w:t>
            </w:r>
          </w:p>
          <w:p w14:paraId="08B9A535" w14:textId="77777777" w:rsidR="0005179D"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t>Multi-year support for district-wide adoption of myPerspectives (grades 6-12);  implementation has included multiple phases of planning, training, and ongoing support spanning initial/foundational professional learning to targeted job embedded assistance and the use of  full-time dedicated consultants.</w:t>
            </w:r>
          </w:p>
          <w:p w14:paraId="550386BE" w14:textId="77777777" w:rsidR="0005179D" w:rsidRDefault="0005179D">
            <w:pPr>
              <w:widowControl w:val="0"/>
              <w:spacing w:line="240" w:lineRule="auto"/>
              <w:ind w:left="720"/>
              <w:rPr>
                <w:rFonts w:ascii="Poppins" w:eastAsia="Poppins" w:hAnsi="Poppins" w:cs="Poppins"/>
                <w:sz w:val="20"/>
                <w:szCs w:val="20"/>
              </w:rPr>
            </w:pPr>
          </w:p>
          <w:p w14:paraId="0355127A" w14:textId="77777777" w:rsidR="0005179D"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 xml:space="preserve">We began by collaboratively developing a professional learning plan with our partner that provided training and support to educators in various roles across the district’s implementing schools. Our overall approach was to first introduce </w:t>
            </w:r>
            <w:r>
              <w:rPr>
                <w:rFonts w:ascii="Poppins" w:eastAsia="Poppins" w:hAnsi="Poppins" w:cs="Poppins"/>
                <w:i/>
                <w:iCs/>
                <w:sz w:val="20"/>
                <w:szCs w:val="20"/>
              </w:rPr>
              <w:t>myPerspectives</w:t>
            </w:r>
            <w:r>
              <w:rPr>
                <w:rFonts w:ascii="Poppins" w:eastAsia="Poppins" w:hAnsi="Poppins" w:cs="Poppins"/>
                <w:sz w:val="20"/>
                <w:szCs w:val="20"/>
              </w:rPr>
              <w:t>, layer that introduction with deeper exploration of collaboratively determined program topics, features, and strategies, and then further support implementation by focusing on leveraging existing capacity building structures, such as professional learning communities (PLCs), to sustain ongoing improvement. We have facilitated professional learning virtually (both synchronously and asynchronously), onsite, and in blended formats.</w:t>
            </w:r>
          </w:p>
          <w:p w14:paraId="71B27190" w14:textId="77777777" w:rsidR="0005179D" w:rsidRDefault="0005179D">
            <w:pPr>
              <w:widowControl w:val="0"/>
              <w:spacing w:line="240" w:lineRule="auto"/>
              <w:rPr>
                <w:rFonts w:ascii="Poppins" w:eastAsia="Poppins" w:hAnsi="Poppins" w:cs="Poppins"/>
                <w:sz w:val="20"/>
                <w:szCs w:val="20"/>
              </w:rPr>
            </w:pPr>
          </w:p>
          <w:p w14:paraId="65BB97B3" w14:textId="77777777" w:rsidR="0005179D"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 xml:space="preserve">Sustaining support from Savvas has included site-based/in-person and virtual professional learning sessions based on instructional goals that were collaboratively determined with the administrators, individual teacher coaching, and grade-level PLCs that include co-planning, analysis of student work, and related reflective practice.  Focus Visits with school and district leaders using </w:t>
            </w:r>
            <w:proofErr w:type="gramStart"/>
            <w:r>
              <w:rPr>
                <w:rFonts w:ascii="Poppins" w:eastAsia="Poppins" w:hAnsi="Poppins" w:cs="Poppins"/>
                <w:sz w:val="20"/>
                <w:szCs w:val="20"/>
              </w:rPr>
              <w:t>program based</w:t>
            </w:r>
            <w:proofErr w:type="gramEnd"/>
            <w:r>
              <w:rPr>
                <w:rFonts w:ascii="Poppins" w:eastAsia="Poppins" w:hAnsi="Poppins" w:cs="Poppins"/>
                <w:sz w:val="20"/>
                <w:szCs w:val="20"/>
              </w:rPr>
              <w:t xml:space="preserve"> rubrics support them in providing teachers with actionable, non-evaluative, student-focused feedback.</w:t>
            </w:r>
          </w:p>
          <w:p w14:paraId="68B79E7E" w14:textId="77777777" w:rsidR="0005179D" w:rsidRDefault="0005179D">
            <w:pPr>
              <w:widowControl w:val="0"/>
              <w:spacing w:line="240" w:lineRule="auto"/>
              <w:rPr>
                <w:rFonts w:ascii="Poppins" w:eastAsia="Poppins" w:hAnsi="Poppins" w:cs="Poppins"/>
                <w:sz w:val="20"/>
                <w:szCs w:val="20"/>
              </w:rPr>
            </w:pPr>
          </w:p>
          <w:p w14:paraId="67483A43" w14:textId="77777777" w:rsidR="0005179D"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Savvas support for this partner school district is ongoing and currently includes weekly meetings with the district ELA department, as well as personalized onsite and virtual training sessions. Planning for the next Summer Summit is underway.</w:t>
            </w:r>
          </w:p>
          <w:p w14:paraId="58F00B28" w14:textId="77777777" w:rsidR="0005179D" w:rsidRDefault="0005179D">
            <w:pPr>
              <w:widowControl w:val="0"/>
              <w:spacing w:line="240" w:lineRule="auto"/>
              <w:rPr>
                <w:rFonts w:ascii="Poppins" w:eastAsia="Poppins" w:hAnsi="Poppins" w:cs="Poppins"/>
                <w:sz w:val="20"/>
                <w:szCs w:val="20"/>
              </w:rPr>
            </w:pPr>
          </w:p>
          <w:p w14:paraId="0BE8F02D" w14:textId="77777777" w:rsidR="0005179D" w:rsidRDefault="00000000">
            <w:pPr>
              <w:spacing w:line="240" w:lineRule="auto"/>
              <w:rPr>
                <w:rFonts w:ascii="Poppins" w:eastAsia="Poppins" w:hAnsi="Poppins" w:cs="Poppins"/>
                <w:sz w:val="20"/>
                <w:szCs w:val="20"/>
              </w:rPr>
            </w:pPr>
            <w:r>
              <w:rPr>
                <w:rFonts w:ascii="Poppins" w:eastAsia="Poppins" w:hAnsi="Poppins" w:cs="Poppins"/>
                <w:sz w:val="20"/>
                <w:szCs w:val="20"/>
              </w:rPr>
              <w:t xml:space="preserve">The sample Scope and Sequence below </w:t>
            </w:r>
            <w:proofErr w:type="gramStart"/>
            <w:r>
              <w:rPr>
                <w:rFonts w:ascii="Poppins" w:eastAsia="Poppins" w:hAnsi="Poppins" w:cs="Poppins"/>
                <w:sz w:val="20"/>
                <w:szCs w:val="20"/>
              </w:rPr>
              <w:t>examines</w:t>
            </w:r>
            <w:proofErr w:type="gramEnd"/>
            <w:r>
              <w:rPr>
                <w:rFonts w:ascii="Poppins" w:eastAsia="Poppins" w:hAnsi="Poppins" w:cs="Poppins"/>
                <w:sz w:val="20"/>
                <w:szCs w:val="20"/>
              </w:rPr>
              <w:t xml:space="preserve"> Ongoing Teacher support.</w:t>
            </w:r>
          </w:p>
        </w:tc>
      </w:tr>
    </w:tbl>
    <w:p w14:paraId="3692B346" w14:textId="77777777" w:rsidR="0005179D" w:rsidRDefault="0005179D">
      <w:pPr>
        <w:spacing w:line="240" w:lineRule="auto"/>
        <w:rPr>
          <w:rFonts w:ascii="Poppins" w:eastAsia="Poppins" w:hAnsi="Poppins" w:cs="Poppins"/>
          <w:sz w:val="20"/>
          <w:szCs w:val="20"/>
        </w:rPr>
      </w:pPr>
    </w:p>
    <w:p w14:paraId="34F45B93" w14:textId="77777777" w:rsidR="0005179D" w:rsidRDefault="0005179D">
      <w:pPr>
        <w:spacing w:line="240" w:lineRule="auto"/>
        <w:rPr>
          <w:rFonts w:ascii="Poppins" w:eastAsia="Poppins" w:hAnsi="Poppins" w:cs="Poppins"/>
          <w:sz w:val="20"/>
          <w:szCs w:val="20"/>
        </w:rPr>
      </w:pPr>
    </w:p>
    <w:p w14:paraId="1D69EA66" w14:textId="77777777" w:rsidR="0005179D" w:rsidRDefault="0005179D">
      <w:pPr>
        <w:spacing w:line="240" w:lineRule="auto"/>
        <w:rPr>
          <w:rFonts w:ascii="Poppins" w:eastAsia="Poppins" w:hAnsi="Poppins" w:cs="Poppins"/>
          <w:sz w:val="20"/>
          <w:szCs w:val="20"/>
        </w:rPr>
      </w:pPr>
    </w:p>
    <w:p w14:paraId="03521649" w14:textId="77777777" w:rsidR="0005179D" w:rsidRDefault="00000000">
      <w:pPr>
        <w:spacing w:line="240" w:lineRule="auto"/>
        <w:rPr>
          <w:rFonts w:ascii="Poppins" w:eastAsia="Poppins" w:hAnsi="Poppins" w:cs="Poppins"/>
          <w:b/>
          <w:bCs/>
          <w:sz w:val="20"/>
          <w:szCs w:val="20"/>
          <w:highlight w:val="white"/>
        </w:rPr>
      </w:pPr>
      <w:r>
        <w:rPr>
          <w:rFonts w:ascii="Poppins" w:eastAsia="Poppins" w:hAnsi="Poppins" w:cs="Poppins"/>
          <w:b/>
          <w:bCs/>
          <w:sz w:val="20"/>
          <w:szCs w:val="20"/>
          <w:highlight w:val="white"/>
        </w:rPr>
        <w:t>Sample Scope and Sequence (delete the examples. You may add up to 2 samples of engagements- duplicate this table if necessary)</w:t>
      </w:r>
    </w:p>
    <w:tbl>
      <w:tblPr>
        <w:tblStyle w:val="a0"/>
        <w:tblW w:w="131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2670"/>
        <w:gridCol w:w="3285"/>
        <w:gridCol w:w="5385"/>
      </w:tblGrid>
      <w:tr w:rsidR="0005179D" w14:paraId="266BE4CC" w14:textId="77777777">
        <w:tc>
          <w:tcPr>
            <w:tcW w:w="1770" w:type="dxa"/>
            <w:shd w:val="clear" w:color="auto" w:fill="D9D9D9"/>
            <w:tcMar>
              <w:top w:w="100" w:type="dxa"/>
              <w:left w:w="100" w:type="dxa"/>
              <w:bottom w:w="100" w:type="dxa"/>
              <w:right w:w="100" w:type="dxa"/>
            </w:tcMar>
          </w:tcPr>
          <w:p w14:paraId="7F2DB014" w14:textId="77777777" w:rsidR="0005179D"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b/>
                <w:bCs/>
                <w:sz w:val="20"/>
                <w:szCs w:val="20"/>
              </w:rPr>
              <w:t xml:space="preserve">Timing </w:t>
            </w:r>
            <w:r>
              <w:rPr>
                <w:rFonts w:ascii="Poppins" w:eastAsia="Poppins" w:hAnsi="Poppins" w:cs="Poppins"/>
                <w:sz w:val="20"/>
                <w:szCs w:val="20"/>
              </w:rPr>
              <w:t>(you may choose to use specific days/months or frequency)</w:t>
            </w:r>
          </w:p>
        </w:tc>
        <w:tc>
          <w:tcPr>
            <w:tcW w:w="2670" w:type="dxa"/>
            <w:shd w:val="clear" w:color="auto" w:fill="D9D9D9"/>
            <w:tcMar>
              <w:top w:w="100" w:type="dxa"/>
              <w:left w:w="100" w:type="dxa"/>
              <w:bottom w:w="100" w:type="dxa"/>
              <w:right w:w="100" w:type="dxa"/>
            </w:tcMar>
          </w:tcPr>
          <w:p w14:paraId="16C8ED00" w14:textId="77777777" w:rsidR="0005179D" w:rsidRDefault="00000000">
            <w:pPr>
              <w:widowControl w:val="0"/>
              <w:pBdr>
                <w:top w:val="nil"/>
                <w:left w:val="nil"/>
                <w:bottom w:val="nil"/>
                <w:right w:val="nil"/>
                <w:between w:val="nil"/>
              </w:pBdr>
              <w:spacing w:line="240" w:lineRule="auto"/>
              <w:jc w:val="center"/>
              <w:rPr>
                <w:rFonts w:ascii="Poppins" w:eastAsia="Poppins" w:hAnsi="Poppins" w:cs="Poppins"/>
                <w:b/>
                <w:bCs/>
                <w:sz w:val="20"/>
                <w:szCs w:val="20"/>
              </w:rPr>
            </w:pPr>
            <w:r>
              <w:rPr>
                <w:rFonts w:ascii="Poppins" w:eastAsia="Poppins" w:hAnsi="Poppins" w:cs="Poppins"/>
                <w:b/>
                <w:bCs/>
                <w:sz w:val="20"/>
                <w:szCs w:val="20"/>
              </w:rPr>
              <w:t>Participants</w:t>
            </w:r>
          </w:p>
        </w:tc>
        <w:tc>
          <w:tcPr>
            <w:tcW w:w="3285" w:type="dxa"/>
            <w:shd w:val="clear" w:color="auto" w:fill="D9D9D9"/>
            <w:tcMar>
              <w:top w:w="100" w:type="dxa"/>
              <w:left w:w="100" w:type="dxa"/>
              <w:bottom w:w="100" w:type="dxa"/>
              <w:right w:w="100" w:type="dxa"/>
            </w:tcMar>
          </w:tcPr>
          <w:p w14:paraId="3538DB76" w14:textId="77777777" w:rsidR="0005179D"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b/>
                <w:bCs/>
                <w:sz w:val="20"/>
                <w:szCs w:val="20"/>
              </w:rPr>
              <w:t xml:space="preserve">Name of PL </w:t>
            </w:r>
            <w:r>
              <w:rPr>
                <w:rFonts w:ascii="Poppins" w:eastAsia="Poppins" w:hAnsi="Poppins" w:cs="Poppins"/>
                <w:sz w:val="20"/>
                <w:szCs w:val="20"/>
              </w:rPr>
              <w:t>(either specific workshop title, coaching, etc)</w:t>
            </w:r>
            <w:r>
              <w:rPr>
                <w:rFonts w:ascii="Poppins" w:eastAsia="Poppins" w:hAnsi="Poppins" w:cs="Poppins"/>
                <w:b/>
                <w:bCs/>
                <w:sz w:val="20"/>
                <w:szCs w:val="20"/>
              </w:rPr>
              <w:t xml:space="preserve"> and format</w:t>
            </w:r>
            <w:r>
              <w:rPr>
                <w:rFonts w:ascii="Poppins" w:eastAsia="Poppins" w:hAnsi="Poppins" w:cs="Poppins"/>
                <w:sz w:val="20"/>
                <w:szCs w:val="20"/>
              </w:rPr>
              <w:t>( Virtual, in-person, hybrid)</w:t>
            </w:r>
          </w:p>
        </w:tc>
        <w:tc>
          <w:tcPr>
            <w:tcW w:w="5385" w:type="dxa"/>
            <w:shd w:val="clear" w:color="auto" w:fill="D9D9D9"/>
            <w:tcMar>
              <w:top w:w="100" w:type="dxa"/>
              <w:left w:w="100" w:type="dxa"/>
              <w:bottom w:w="100" w:type="dxa"/>
              <w:right w:w="100" w:type="dxa"/>
            </w:tcMar>
          </w:tcPr>
          <w:p w14:paraId="61481C20" w14:textId="77777777" w:rsidR="0005179D" w:rsidRDefault="00000000">
            <w:pPr>
              <w:widowControl w:val="0"/>
              <w:pBdr>
                <w:top w:val="nil"/>
                <w:left w:val="nil"/>
                <w:bottom w:val="nil"/>
                <w:right w:val="nil"/>
                <w:between w:val="nil"/>
              </w:pBdr>
              <w:spacing w:line="240" w:lineRule="auto"/>
              <w:jc w:val="center"/>
              <w:rPr>
                <w:rFonts w:ascii="Poppins" w:eastAsia="Poppins" w:hAnsi="Poppins" w:cs="Poppins"/>
                <w:b/>
                <w:bCs/>
                <w:sz w:val="20"/>
                <w:szCs w:val="20"/>
              </w:rPr>
            </w:pPr>
            <w:r>
              <w:rPr>
                <w:rFonts w:ascii="Poppins" w:eastAsia="Poppins" w:hAnsi="Poppins" w:cs="Poppins"/>
                <w:b/>
                <w:bCs/>
                <w:sz w:val="20"/>
                <w:szCs w:val="20"/>
              </w:rPr>
              <w:t>Description</w:t>
            </w:r>
          </w:p>
        </w:tc>
      </w:tr>
      <w:tr w:rsidR="0005179D" w14:paraId="3847D4B8" w14:textId="77777777">
        <w:tc>
          <w:tcPr>
            <w:tcW w:w="1770" w:type="dxa"/>
            <w:tcMar>
              <w:top w:w="100" w:type="dxa"/>
              <w:left w:w="100" w:type="dxa"/>
              <w:bottom w:w="100" w:type="dxa"/>
              <w:right w:w="100" w:type="dxa"/>
            </w:tcMar>
          </w:tcPr>
          <w:p w14:paraId="1435328A" w14:textId="77777777" w:rsidR="0005179D"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 xml:space="preserve">Summer </w:t>
            </w:r>
          </w:p>
        </w:tc>
        <w:tc>
          <w:tcPr>
            <w:tcW w:w="2670" w:type="dxa"/>
            <w:tcMar>
              <w:top w:w="100" w:type="dxa"/>
              <w:left w:w="100" w:type="dxa"/>
              <w:bottom w:w="100" w:type="dxa"/>
              <w:right w:w="100" w:type="dxa"/>
            </w:tcMar>
          </w:tcPr>
          <w:p w14:paraId="57E09619" w14:textId="77777777" w:rsidR="0005179D"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Learning Lab (Lead) Teachers, Coaches</w:t>
            </w:r>
          </w:p>
        </w:tc>
        <w:tc>
          <w:tcPr>
            <w:tcW w:w="3285" w:type="dxa"/>
            <w:tcMar>
              <w:top w:w="100" w:type="dxa"/>
              <w:left w:w="100" w:type="dxa"/>
              <w:bottom w:w="100" w:type="dxa"/>
              <w:right w:w="100" w:type="dxa"/>
            </w:tcMar>
          </w:tcPr>
          <w:p w14:paraId="5DEB1F3D" w14:textId="77777777" w:rsidR="0005179D" w:rsidRDefault="00000000">
            <w:pPr>
              <w:spacing w:line="240" w:lineRule="auto"/>
              <w:jc w:val="center"/>
              <w:rPr>
                <w:rFonts w:ascii="Poppins" w:eastAsia="Poppins" w:hAnsi="Poppins" w:cs="Poppins"/>
                <w:sz w:val="20"/>
                <w:szCs w:val="20"/>
              </w:rPr>
            </w:pPr>
            <w:r>
              <w:rPr>
                <w:rFonts w:ascii="Poppins" w:eastAsia="Poppins" w:hAnsi="Poppins" w:cs="Poppins"/>
                <w:sz w:val="20"/>
                <w:szCs w:val="20"/>
              </w:rPr>
              <w:t>Summer Summit (3 days)</w:t>
            </w:r>
          </w:p>
          <w:p w14:paraId="201A3F0E" w14:textId="77777777" w:rsidR="0005179D" w:rsidRDefault="00000000">
            <w:pPr>
              <w:spacing w:line="240" w:lineRule="auto"/>
              <w:jc w:val="center"/>
              <w:rPr>
                <w:rFonts w:ascii="Poppins" w:eastAsia="Poppins" w:hAnsi="Poppins" w:cs="Poppins"/>
                <w:sz w:val="20"/>
                <w:szCs w:val="20"/>
              </w:rPr>
            </w:pPr>
            <w:r>
              <w:rPr>
                <w:rFonts w:ascii="Poppins" w:eastAsia="Poppins" w:hAnsi="Poppins" w:cs="Poppins"/>
                <w:sz w:val="20"/>
                <w:szCs w:val="20"/>
              </w:rPr>
              <w:t>(Onsite, in-person)</w:t>
            </w:r>
          </w:p>
        </w:tc>
        <w:tc>
          <w:tcPr>
            <w:tcW w:w="5385" w:type="dxa"/>
            <w:tcMar>
              <w:top w:w="100" w:type="dxa"/>
              <w:left w:w="100" w:type="dxa"/>
              <w:bottom w:w="100" w:type="dxa"/>
              <w:right w:w="100" w:type="dxa"/>
            </w:tcMar>
          </w:tcPr>
          <w:p w14:paraId="29F1B209" w14:textId="77777777" w:rsidR="0005179D" w:rsidRDefault="00000000">
            <w:pPr>
              <w:spacing w:line="240" w:lineRule="auto"/>
              <w:rPr>
                <w:rFonts w:ascii="Poppins" w:eastAsia="Poppins" w:hAnsi="Poppins" w:cs="Poppins"/>
                <w:sz w:val="20"/>
                <w:szCs w:val="20"/>
              </w:rPr>
            </w:pPr>
            <w:r>
              <w:rPr>
                <w:rFonts w:ascii="Poppins" w:eastAsia="Poppins" w:hAnsi="Poppins" w:cs="Poppins"/>
                <w:sz w:val="20"/>
                <w:szCs w:val="20"/>
              </w:rPr>
              <w:t xml:space="preserve">The Summer Summit is designed to support a cohort of Learning Lab (Lead) teachers and coaches as they deepen their instructional practice using </w:t>
            </w:r>
            <w:r>
              <w:rPr>
                <w:rFonts w:ascii="Poppins" w:eastAsia="Poppins" w:hAnsi="Poppins" w:cs="Poppins"/>
                <w:i/>
                <w:iCs/>
                <w:sz w:val="20"/>
                <w:szCs w:val="20"/>
              </w:rPr>
              <w:t>myPerspectives</w:t>
            </w:r>
            <w:r>
              <w:rPr>
                <w:rFonts w:ascii="Poppins" w:eastAsia="Poppins" w:hAnsi="Poppins" w:cs="Poppins"/>
                <w:sz w:val="20"/>
                <w:szCs w:val="20"/>
              </w:rPr>
              <w:t xml:space="preserve">. The goal of the Summer Summit is to establish a cohort of Learning Labs facilitated by teachers who open their classrooms to colleagues throughout the year for ongoing learning. </w:t>
            </w:r>
          </w:p>
        </w:tc>
      </w:tr>
      <w:tr w:rsidR="0005179D" w14:paraId="58354D64" w14:textId="77777777">
        <w:tc>
          <w:tcPr>
            <w:tcW w:w="1770" w:type="dxa"/>
            <w:tcMar>
              <w:top w:w="100" w:type="dxa"/>
              <w:left w:w="100" w:type="dxa"/>
              <w:bottom w:w="100" w:type="dxa"/>
              <w:right w:w="100" w:type="dxa"/>
            </w:tcMar>
          </w:tcPr>
          <w:p w14:paraId="36B85B54" w14:textId="77777777" w:rsidR="0005179D"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Monthly</w:t>
            </w:r>
          </w:p>
        </w:tc>
        <w:tc>
          <w:tcPr>
            <w:tcW w:w="2670" w:type="dxa"/>
            <w:tcMar>
              <w:top w:w="100" w:type="dxa"/>
              <w:left w:w="100" w:type="dxa"/>
              <w:bottom w:w="100" w:type="dxa"/>
              <w:right w:w="100" w:type="dxa"/>
            </w:tcMar>
          </w:tcPr>
          <w:p w14:paraId="5994801A" w14:textId="77777777" w:rsidR="0005179D"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 xml:space="preserve">Teachers, Coaches </w:t>
            </w:r>
          </w:p>
          <w:p w14:paraId="31035670" w14:textId="77777777" w:rsidR="0005179D" w:rsidRDefault="0005179D">
            <w:pPr>
              <w:widowControl w:val="0"/>
              <w:pBdr>
                <w:top w:val="nil"/>
                <w:left w:val="nil"/>
                <w:bottom w:val="nil"/>
                <w:right w:val="nil"/>
                <w:between w:val="nil"/>
              </w:pBdr>
              <w:spacing w:line="240" w:lineRule="auto"/>
              <w:rPr>
                <w:rFonts w:ascii="Poppins" w:eastAsia="Poppins" w:hAnsi="Poppins" w:cs="Poppins"/>
                <w:sz w:val="20"/>
                <w:szCs w:val="20"/>
              </w:rPr>
            </w:pPr>
          </w:p>
        </w:tc>
        <w:tc>
          <w:tcPr>
            <w:tcW w:w="3285" w:type="dxa"/>
            <w:tcMar>
              <w:top w:w="100" w:type="dxa"/>
              <w:left w:w="100" w:type="dxa"/>
              <w:bottom w:w="100" w:type="dxa"/>
              <w:right w:w="100" w:type="dxa"/>
            </w:tcMar>
          </w:tcPr>
          <w:p w14:paraId="6817DD3A" w14:textId="77777777" w:rsidR="0005179D"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sz w:val="20"/>
                <w:szCs w:val="20"/>
              </w:rPr>
              <w:t xml:space="preserve">Job-Embedded Support </w:t>
            </w:r>
          </w:p>
          <w:p w14:paraId="768EF267" w14:textId="77777777" w:rsidR="0005179D"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sz w:val="20"/>
                <w:szCs w:val="20"/>
              </w:rPr>
              <w:t xml:space="preserve">(Onsite, in-person, and virtually)  </w:t>
            </w:r>
          </w:p>
        </w:tc>
        <w:tc>
          <w:tcPr>
            <w:tcW w:w="5385" w:type="dxa"/>
            <w:tcMar>
              <w:top w:w="100" w:type="dxa"/>
              <w:left w:w="100" w:type="dxa"/>
              <w:bottom w:w="100" w:type="dxa"/>
              <w:right w:w="100" w:type="dxa"/>
            </w:tcMar>
          </w:tcPr>
          <w:p w14:paraId="64F64EAE" w14:textId="77777777" w:rsidR="0005179D" w:rsidRDefault="00000000">
            <w:pPr>
              <w:widowControl w:val="0"/>
              <w:spacing w:line="240" w:lineRule="auto"/>
              <w:rPr>
                <w:rFonts w:ascii="Poppins" w:eastAsia="Poppins" w:hAnsi="Poppins" w:cs="Poppins"/>
                <w:sz w:val="18"/>
                <w:szCs w:val="18"/>
              </w:rPr>
            </w:pPr>
            <w:r>
              <w:rPr>
                <w:rFonts w:ascii="Poppins" w:eastAsia="Poppins" w:hAnsi="Poppins" w:cs="Poppins"/>
                <w:sz w:val="20"/>
                <w:szCs w:val="20"/>
              </w:rPr>
              <w:t xml:space="preserve">Job-Embedded Support personalizes professional learning for teachers as they implement new practices, study the effect those practices have on students, and adjust these same practices based on student evidence of understanding. Job-Embedded Support includes modeling, co-teaching, informal observation with feedback, co-planning, and formative assessment of student work. </w:t>
            </w:r>
          </w:p>
        </w:tc>
      </w:tr>
      <w:tr w:rsidR="0005179D" w14:paraId="17F2E7DD" w14:textId="77777777">
        <w:tc>
          <w:tcPr>
            <w:tcW w:w="1770" w:type="dxa"/>
            <w:tcMar>
              <w:top w:w="100" w:type="dxa"/>
              <w:left w:w="100" w:type="dxa"/>
              <w:bottom w:w="100" w:type="dxa"/>
              <w:right w:w="100" w:type="dxa"/>
            </w:tcMar>
          </w:tcPr>
          <w:p w14:paraId="0FE6C98D" w14:textId="77777777" w:rsidR="0005179D"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 xml:space="preserve">Semesterly </w:t>
            </w:r>
          </w:p>
        </w:tc>
        <w:tc>
          <w:tcPr>
            <w:tcW w:w="2670" w:type="dxa"/>
            <w:tcMar>
              <w:top w:w="100" w:type="dxa"/>
              <w:left w:w="100" w:type="dxa"/>
              <w:bottom w:w="100" w:type="dxa"/>
              <w:right w:w="100" w:type="dxa"/>
            </w:tcMar>
          </w:tcPr>
          <w:p w14:paraId="23CEDFFF" w14:textId="77777777" w:rsidR="0005179D"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Teachers, Coaches</w:t>
            </w:r>
          </w:p>
        </w:tc>
        <w:tc>
          <w:tcPr>
            <w:tcW w:w="3285" w:type="dxa"/>
            <w:tcMar>
              <w:top w:w="100" w:type="dxa"/>
              <w:left w:w="100" w:type="dxa"/>
              <w:bottom w:w="100" w:type="dxa"/>
              <w:right w:w="100" w:type="dxa"/>
            </w:tcMar>
          </w:tcPr>
          <w:p w14:paraId="5273EED6" w14:textId="77777777" w:rsidR="0005179D"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sz w:val="20"/>
                <w:szCs w:val="20"/>
              </w:rPr>
              <w:t xml:space="preserve">Program and Pedagogy </w:t>
            </w:r>
            <w:r>
              <w:rPr>
                <w:rFonts w:ascii="Poppins" w:eastAsia="Poppins" w:hAnsi="Poppins" w:cs="Poppins"/>
                <w:sz w:val="20"/>
                <w:szCs w:val="20"/>
              </w:rPr>
              <w:lastRenderedPageBreak/>
              <w:t xml:space="preserve">Workshops/Webinars </w:t>
            </w:r>
          </w:p>
          <w:p w14:paraId="449E603C" w14:textId="77777777" w:rsidR="0005179D" w:rsidRDefault="0005179D">
            <w:pPr>
              <w:widowControl w:val="0"/>
              <w:pBdr>
                <w:top w:val="nil"/>
                <w:left w:val="nil"/>
                <w:bottom w:val="nil"/>
                <w:right w:val="nil"/>
                <w:between w:val="nil"/>
              </w:pBdr>
              <w:spacing w:line="240" w:lineRule="auto"/>
              <w:jc w:val="center"/>
              <w:rPr>
                <w:rFonts w:ascii="Poppins" w:eastAsia="Poppins" w:hAnsi="Poppins" w:cs="Poppins"/>
                <w:sz w:val="20"/>
                <w:szCs w:val="20"/>
              </w:rPr>
            </w:pPr>
          </w:p>
          <w:p w14:paraId="0ADEA522" w14:textId="77777777" w:rsidR="0005179D" w:rsidRDefault="00000000">
            <w:pPr>
              <w:widowControl w:val="0"/>
              <w:spacing w:line="240" w:lineRule="auto"/>
              <w:jc w:val="center"/>
              <w:rPr>
                <w:rFonts w:ascii="Poppins" w:eastAsia="Poppins" w:hAnsi="Poppins" w:cs="Poppins"/>
                <w:sz w:val="20"/>
                <w:szCs w:val="20"/>
              </w:rPr>
            </w:pPr>
            <w:r>
              <w:rPr>
                <w:rFonts w:ascii="Poppins" w:eastAsia="Poppins" w:hAnsi="Poppins" w:cs="Poppins"/>
                <w:sz w:val="20"/>
                <w:szCs w:val="20"/>
              </w:rPr>
              <w:t xml:space="preserve">(Onsite, in-person and virtually)  </w:t>
            </w:r>
          </w:p>
        </w:tc>
        <w:tc>
          <w:tcPr>
            <w:tcW w:w="5385" w:type="dxa"/>
            <w:tcMar>
              <w:top w:w="100" w:type="dxa"/>
              <w:left w:w="100" w:type="dxa"/>
              <w:bottom w:w="100" w:type="dxa"/>
              <w:right w:w="100" w:type="dxa"/>
            </w:tcMar>
          </w:tcPr>
          <w:p w14:paraId="1A71B9D5" w14:textId="77777777" w:rsidR="0005179D"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lastRenderedPageBreak/>
              <w:t xml:space="preserve">Workshops/webinars (up to 30 participants per </w:t>
            </w:r>
            <w:r>
              <w:rPr>
                <w:rFonts w:ascii="Poppins" w:eastAsia="Poppins" w:hAnsi="Poppins" w:cs="Poppins"/>
                <w:sz w:val="20"/>
                <w:szCs w:val="20"/>
              </w:rPr>
              <w:lastRenderedPageBreak/>
              <w:t xml:space="preserve">cohort) are often provided in modular form and facilitated in </w:t>
            </w:r>
            <w:proofErr w:type="gramStart"/>
            <w:r>
              <w:rPr>
                <w:rFonts w:ascii="Poppins" w:eastAsia="Poppins" w:hAnsi="Poppins" w:cs="Poppins"/>
                <w:sz w:val="20"/>
                <w:szCs w:val="20"/>
              </w:rPr>
              <w:t>1-3 hour</w:t>
            </w:r>
            <w:proofErr w:type="gramEnd"/>
            <w:r>
              <w:rPr>
                <w:rFonts w:ascii="Poppins" w:eastAsia="Poppins" w:hAnsi="Poppins" w:cs="Poppins"/>
                <w:sz w:val="20"/>
                <w:szCs w:val="20"/>
              </w:rPr>
              <w:t xml:space="preserve"> chunks in person or virtually. In alignment with research on change of practice, we recommend first identifying a focus area with a corresponding workshop/</w:t>
            </w:r>
            <w:proofErr w:type="gramStart"/>
            <w:r>
              <w:rPr>
                <w:rFonts w:ascii="Poppins" w:eastAsia="Poppins" w:hAnsi="Poppins" w:cs="Poppins"/>
                <w:sz w:val="20"/>
                <w:szCs w:val="20"/>
              </w:rPr>
              <w:t>webinar, and</w:t>
            </w:r>
            <w:proofErr w:type="gramEnd"/>
            <w:r>
              <w:rPr>
                <w:rFonts w:ascii="Poppins" w:eastAsia="Poppins" w:hAnsi="Poppins" w:cs="Poppins"/>
                <w:sz w:val="20"/>
                <w:szCs w:val="20"/>
              </w:rPr>
              <w:t xml:space="preserve"> then follow that training with essential job-embedded support to help teachers bring the learning into the classroom and into daily student learning. </w:t>
            </w:r>
          </w:p>
        </w:tc>
      </w:tr>
      <w:tr w:rsidR="0005179D" w14:paraId="421711DF" w14:textId="77777777">
        <w:tc>
          <w:tcPr>
            <w:tcW w:w="1770" w:type="dxa"/>
            <w:tcMar>
              <w:top w:w="100" w:type="dxa"/>
              <w:left w:w="100" w:type="dxa"/>
              <w:bottom w:w="100" w:type="dxa"/>
              <w:right w:w="100" w:type="dxa"/>
            </w:tcMar>
          </w:tcPr>
          <w:p w14:paraId="5CB5C7B3" w14:textId="77777777" w:rsidR="0005179D"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lastRenderedPageBreak/>
              <w:t xml:space="preserve">Quarterly </w:t>
            </w:r>
          </w:p>
        </w:tc>
        <w:tc>
          <w:tcPr>
            <w:tcW w:w="2670" w:type="dxa"/>
            <w:tcMar>
              <w:top w:w="100" w:type="dxa"/>
              <w:left w:w="100" w:type="dxa"/>
              <w:bottom w:w="100" w:type="dxa"/>
              <w:right w:w="100" w:type="dxa"/>
            </w:tcMar>
          </w:tcPr>
          <w:p w14:paraId="44BB03A1" w14:textId="77777777" w:rsidR="0005179D"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 xml:space="preserve">School and District Administrators </w:t>
            </w:r>
          </w:p>
        </w:tc>
        <w:tc>
          <w:tcPr>
            <w:tcW w:w="3285" w:type="dxa"/>
            <w:tcMar>
              <w:top w:w="100" w:type="dxa"/>
              <w:left w:w="100" w:type="dxa"/>
              <w:bottom w:w="100" w:type="dxa"/>
              <w:right w:w="100" w:type="dxa"/>
            </w:tcMar>
          </w:tcPr>
          <w:p w14:paraId="55871D04" w14:textId="77777777" w:rsidR="0005179D"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sz w:val="20"/>
                <w:szCs w:val="20"/>
              </w:rPr>
              <w:t xml:space="preserve">Focus Visits </w:t>
            </w:r>
          </w:p>
          <w:p w14:paraId="3B710103" w14:textId="77777777" w:rsidR="0005179D" w:rsidRDefault="00000000">
            <w:pPr>
              <w:widowControl w:val="0"/>
              <w:spacing w:line="240" w:lineRule="auto"/>
              <w:jc w:val="center"/>
              <w:rPr>
                <w:rFonts w:ascii="Poppins" w:eastAsia="Poppins" w:hAnsi="Poppins" w:cs="Poppins"/>
                <w:sz w:val="20"/>
                <w:szCs w:val="20"/>
              </w:rPr>
            </w:pPr>
            <w:r>
              <w:rPr>
                <w:rFonts w:ascii="Poppins" w:eastAsia="Poppins" w:hAnsi="Poppins" w:cs="Poppins"/>
                <w:sz w:val="20"/>
                <w:szCs w:val="20"/>
              </w:rPr>
              <w:t xml:space="preserve">(Onsite, in-person)  </w:t>
            </w:r>
          </w:p>
        </w:tc>
        <w:tc>
          <w:tcPr>
            <w:tcW w:w="5385" w:type="dxa"/>
            <w:tcMar>
              <w:top w:w="100" w:type="dxa"/>
              <w:left w:w="100" w:type="dxa"/>
              <w:bottom w:w="100" w:type="dxa"/>
              <w:right w:w="100" w:type="dxa"/>
            </w:tcMar>
          </w:tcPr>
          <w:p w14:paraId="7940B2C4" w14:textId="77777777" w:rsidR="0005179D" w:rsidRDefault="00000000">
            <w:pPr>
              <w:widowControl w:val="0"/>
              <w:pBdr>
                <w:top w:val="nil"/>
                <w:left w:val="nil"/>
                <w:bottom w:val="nil"/>
                <w:right w:val="nil"/>
                <w:between w:val="nil"/>
              </w:pBdr>
              <w:spacing w:line="240" w:lineRule="auto"/>
              <w:rPr>
                <w:rFonts w:ascii="Poppins" w:eastAsia="Poppins" w:hAnsi="Poppins" w:cs="Poppins"/>
                <w:sz w:val="20"/>
                <w:szCs w:val="20"/>
              </w:rPr>
            </w:pPr>
            <w:r>
              <w:rPr>
                <w:rFonts w:ascii="Poppins" w:eastAsia="Poppins" w:hAnsi="Poppins" w:cs="Poppins"/>
                <w:sz w:val="20"/>
                <w:szCs w:val="20"/>
              </w:rPr>
              <w:t>Our work with school leaders/Leadership Teams centers on Focus Visits, which norm expectations for how a focus area looks and sounds in daily student learning while helping leaders determine ways to support teachers. The process involves strategic classroom visits and is anchored in the steps of formative assessment.</w:t>
            </w:r>
          </w:p>
        </w:tc>
      </w:tr>
      <w:tr w:rsidR="0005179D" w14:paraId="5D2EAEBF" w14:textId="77777777">
        <w:tc>
          <w:tcPr>
            <w:tcW w:w="1770" w:type="dxa"/>
            <w:tcMar>
              <w:top w:w="100" w:type="dxa"/>
              <w:left w:w="100" w:type="dxa"/>
              <w:bottom w:w="100" w:type="dxa"/>
              <w:right w:w="100" w:type="dxa"/>
            </w:tcMar>
          </w:tcPr>
          <w:p w14:paraId="0A157DD8" w14:textId="77777777" w:rsidR="0005179D"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 xml:space="preserve">Lifetime of the Adoption </w:t>
            </w:r>
          </w:p>
        </w:tc>
        <w:tc>
          <w:tcPr>
            <w:tcW w:w="2670" w:type="dxa"/>
            <w:tcMar>
              <w:top w:w="100" w:type="dxa"/>
              <w:left w:w="100" w:type="dxa"/>
              <w:bottom w:w="100" w:type="dxa"/>
              <w:right w:w="100" w:type="dxa"/>
            </w:tcMar>
          </w:tcPr>
          <w:p w14:paraId="7589752C" w14:textId="77777777" w:rsidR="0005179D"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 xml:space="preserve">Teachers, Coaches, and Administrators </w:t>
            </w:r>
          </w:p>
        </w:tc>
        <w:tc>
          <w:tcPr>
            <w:tcW w:w="3285" w:type="dxa"/>
            <w:tcMar>
              <w:top w:w="100" w:type="dxa"/>
              <w:left w:w="100" w:type="dxa"/>
              <w:bottom w:w="100" w:type="dxa"/>
              <w:right w:w="100" w:type="dxa"/>
            </w:tcMar>
          </w:tcPr>
          <w:p w14:paraId="3561118C" w14:textId="77777777" w:rsidR="0005179D" w:rsidRDefault="00000000">
            <w:pPr>
              <w:spacing w:line="240" w:lineRule="auto"/>
              <w:jc w:val="center"/>
              <w:rPr>
                <w:rFonts w:ascii="Poppins" w:eastAsia="Poppins" w:hAnsi="Poppins" w:cs="Poppins"/>
                <w:sz w:val="20"/>
                <w:szCs w:val="20"/>
              </w:rPr>
            </w:pPr>
            <w:r>
              <w:rPr>
                <w:rFonts w:ascii="Poppins" w:eastAsia="Poppins" w:hAnsi="Poppins" w:cs="Poppins"/>
                <w:sz w:val="20"/>
                <w:szCs w:val="20"/>
              </w:rPr>
              <w:t>mySavvasTraining</w:t>
            </w:r>
          </w:p>
          <w:p w14:paraId="67EAE560" w14:textId="77777777" w:rsidR="0005179D" w:rsidRDefault="00000000">
            <w:pPr>
              <w:spacing w:line="240" w:lineRule="auto"/>
              <w:jc w:val="center"/>
              <w:rPr>
                <w:rFonts w:ascii="Poppins" w:eastAsia="Poppins" w:hAnsi="Poppins" w:cs="Poppins"/>
                <w:sz w:val="20"/>
                <w:szCs w:val="20"/>
              </w:rPr>
            </w:pPr>
            <w:r>
              <w:rPr>
                <w:rFonts w:ascii="Poppins" w:eastAsia="Poppins" w:hAnsi="Poppins" w:cs="Poppins"/>
                <w:sz w:val="20"/>
                <w:szCs w:val="20"/>
              </w:rPr>
              <w:t>(Asynchronous, On-Demand)</w:t>
            </w:r>
          </w:p>
        </w:tc>
        <w:tc>
          <w:tcPr>
            <w:tcW w:w="5385" w:type="dxa"/>
            <w:tcMar>
              <w:top w:w="100" w:type="dxa"/>
              <w:left w:w="100" w:type="dxa"/>
              <w:bottom w:w="100" w:type="dxa"/>
              <w:right w:w="100" w:type="dxa"/>
            </w:tcMar>
          </w:tcPr>
          <w:p w14:paraId="396E7296" w14:textId="77777777" w:rsidR="0005179D" w:rsidRDefault="00000000">
            <w:pPr>
              <w:spacing w:line="240" w:lineRule="auto"/>
              <w:rPr>
                <w:rFonts w:ascii="Poppins" w:eastAsia="Poppins" w:hAnsi="Poppins" w:cs="Poppins"/>
                <w:sz w:val="20"/>
                <w:szCs w:val="20"/>
              </w:rPr>
            </w:pPr>
            <w:r>
              <w:rPr>
                <w:rFonts w:ascii="Poppins" w:eastAsia="Poppins" w:hAnsi="Poppins" w:cs="Poppins"/>
                <w:sz w:val="20"/>
                <w:szCs w:val="20"/>
              </w:rPr>
              <w:t>Additionally, 24/7 professional learning online courses, tutorials, and recorded webinars are available for access at any time at</w:t>
            </w:r>
            <w:hyperlink r:id="rId8">
              <w:r>
                <w:rPr>
                  <w:rFonts w:ascii="Poppins" w:eastAsia="Poppins" w:hAnsi="Poppins" w:cs="Poppins"/>
                  <w:color w:val="1155CC"/>
                  <w:sz w:val="20"/>
                  <w:szCs w:val="20"/>
                </w:rPr>
                <w:t xml:space="preserve"> </w:t>
              </w:r>
            </w:hyperlink>
            <w:hyperlink r:id="rId9">
              <w:r>
                <w:rPr>
                  <w:rFonts w:ascii="Poppins" w:eastAsia="Poppins" w:hAnsi="Poppins" w:cs="Poppins"/>
                  <w:color w:val="1155CC"/>
                  <w:sz w:val="20"/>
                  <w:szCs w:val="20"/>
                  <w:u w:val="single"/>
                </w:rPr>
                <w:t>www.mysavvastraining.com</w:t>
              </w:r>
            </w:hyperlink>
            <w:r>
              <w:rPr>
                <w:rFonts w:ascii="Poppins" w:eastAsia="Poppins" w:hAnsi="Poppins" w:cs="Poppins"/>
                <w:sz w:val="20"/>
                <w:szCs w:val="20"/>
                <w:u w:val="single"/>
              </w:rPr>
              <w:t>.</w:t>
            </w:r>
            <w:r>
              <w:rPr>
                <w:rFonts w:ascii="Poppins" w:eastAsia="Poppins" w:hAnsi="Poppins" w:cs="Poppins"/>
                <w:sz w:val="20"/>
                <w:szCs w:val="20"/>
              </w:rPr>
              <w:t xml:space="preserve"> </w:t>
            </w:r>
            <w:proofErr w:type="gramStart"/>
            <w:r>
              <w:rPr>
                <w:rFonts w:ascii="Poppins" w:eastAsia="Poppins" w:hAnsi="Poppins" w:cs="Poppins"/>
                <w:sz w:val="20"/>
                <w:szCs w:val="20"/>
              </w:rPr>
              <w:t>This rich</w:t>
            </w:r>
            <w:proofErr w:type="gramEnd"/>
            <w:r>
              <w:rPr>
                <w:rFonts w:ascii="Poppins" w:eastAsia="Poppins" w:hAnsi="Poppins" w:cs="Poppins"/>
                <w:sz w:val="20"/>
                <w:szCs w:val="20"/>
              </w:rPr>
              <w:t xml:space="preserve"> on-demand resource provides support for your Savvas program as well as our hosting platform, Savvas Realize. Asynchronous Program Activation is included with mySavvaTraining. Progress through the online materials is self-paced. mySavvasTraining is available to all program users and may be used as a refresher at will.</w:t>
            </w:r>
          </w:p>
        </w:tc>
      </w:tr>
    </w:tbl>
    <w:p w14:paraId="62F2AF73" w14:textId="77777777" w:rsidR="0005179D" w:rsidRDefault="0005179D">
      <w:pPr>
        <w:spacing w:line="240" w:lineRule="auto"/>
        <w:rPr>
          <w:rFonts w:ascii="Poppins" w:eastAsia="Poppins" w:hAnsi="Poppins" w:cs="Poppins"/>
          <w:sz w:val="20"/>
          <w:szCs w:val="20"/>
        </w:rPr>
      </w:pPr>
    </w:p>
    <w:p w14:paraId="1341B55B" w14:textId="77777777" w:rsidR="0005179D" w:rsidRDefault="0005179D">
      <w:pPr>
        <w:spacing w:line="240" w:lineRule="auto"/>
        <w:jc w:val="center"/>
        <w:rPr>
          <w:rFonts w:ascii="Poppins" w:eastAsia="Poppins" w:hAnsi="Poppins" w:cs="Poppins"/>
          <w:sz w:val="20"/>
          <w:szCs w:val="20"/>
        </w:rPr>
      </w:pPr>
    </w:p>
    <w:p w14:paraId="5AD73115" w14:textId="77777777" w:rsidR="0005179D" w:rsidRDefault="0005179D">
      <w:pPr>
        <w:spacing w:line="240" w:lineRule="auto"/>
        <w:rPr>
          <w:rFonts w:ascii="Poppins" w:eastAsia="Poppins" w:hAnsi="Poppins" w:cs="Poppins"/>
          <w:sz w:val="20"/>
          <w:szCs w:val="20"/>
        </w:rPr>
      </w:pPr>
    </w:p>
    <w:sectPr w:rsidR="0005179D">
      <w:headerReference w:type="default" r:id="rId10"/>
      <w:footerReference w:type="default" r:id="rId11"/>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A910A3" w14:textId="77777777" w:rsidR="009C6AE0" w:rsidRDefault="009C6AE0">
      <w:pPr>
        <w:spacing w:line="240" w:lineRule="auto"/>
      </w:pPr>
      <w:r>
        <w:separator/>
      </w:r>
    </w:p>
  </w:endnote>
  <w:endnote w:type="continuationSeparator" w:id="0">
    <w:p w14:paraId="737A25AF" w14:textId="77777777" w:rsidR="009C6AE0" w:rsidRDefault="009C6A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BB0D663-84CF-ED42-9C41-52DC7DF359BC}"/>
  </w:font>
  <w:font w:name="Arial">
    <w:panose1 w:val="020B0604020202020204"/>
    <w:charset w:val="00"/>
    <w:family w:val="swiss"/>
    <w:pitch w:val="variable"/>
    <w:sig w:usb0="E0002EFF" w:usb1="C000785B" w:usb2="00000009" w:usb3="00000000" w:csb0="000001FF" w:csb1="00000000"/>
    <w:embedRegular r:id="rId2" w:fontKey="{5E90AC9F-88A0-C842-8DC8-FDE80D529537}"/>
    <w:embedItalic r:id="rId3" w:fontKey="{519851E8-2E2B-CD45-B1E0-14966CFB594F}"/>
  </w:font>
  <w:font w:name="Poppins">
    <w:panose1 w:val="020B0604020202020204"/>
    <w:charset w:val="4D"/>
    <w:family w:val="auto"/>
    <w:pitch w:val="variable"/>
    <w:sig w:usb0="00008007" w:usb1="00000000" w:usb2="00000000" w:usb3="00000000" w:csb0="00000093" w:csb1="00000000"/>
    <w:embedRegular r:id="rId4" w:fontKey="{D3496806-C45F-2541-A332-ED6A184312AD}"/>
    <w:embedBold r:id="rId5" w:fontKey="{E3AE66AA-B2AC-F54A-AA55-5FC62E3EF6EB}"/>
    <w:embedItalic r:id="rId6" w:fontKey="{15881910-235D-564B-B0C3-5EEBD7CF355D}"/>
  </w:font>
  <w:font w:name="Poppins SemiBold">
    <w:panose1 w:val="000007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7" w:fontKey="{7F328756-3029-CA42-B40D-6C5C504E0CDF}"/>
  </w:font>
  <w:font w:name="Cambria">
    <w:panose1 w:val="02040503050406030204"/>
    <w:charset w:val="00"/>
    <w:family w:val="roman"/>
    <w:pitch w:val="variable"/>
    <w:sig w:usb0="E00006FF" w:usb1="420024FF" w:usb2="02000000" w:usb3="00000000" w:csb0="0000019F" w:csb1="00000000"/>
    <w:embedRegular r:id="rId8" w:fontKey="{A373D246-4703-C14F-B878-7FDEFBB0B6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AC5186" w14:textId="77777777" w:rsidR="0005179D" w:rsidRDefault="00000000">
    <w:r>
      <w:rPr>
        <w:noProof/>
      </w:rPr>
      <w:drawing>
        <wp:anchor distT="114300" distB="114300" distL="114300" distR="114300" simplePos="0" relativeHeight="251658240" behindDoc="0" locked="0" layoutInCell="1" hidden="0" allowOverlap="1" wp14:anchorId="5267A4F4" wp14:editId="6D2FFF00">
          <wp:simplePos x="0" y="0"/>
          <wp:positionH relativeFrom="column">
            <wp:posOffset>114300</wp:posOffset>
          </wp:positionH>
          <wp:positionV relativeFrom="paragraph">
            <wp:posOffset>114300</wp:posOffset>
          </wp:positionV>
          <wp:extent cx="646804" cy="247650"/>
          <wp:effectExtent l="0" t="0" r="0" b="0"/>
          <wp:wrapTopAndBottom distT="114300" distB="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6804" cy="2476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C15D19" w14:textId="77777777" w:rsidR="009C6AE0" w:rsidRDefault="009C6AE0">
      <w:pPr>
        <w:spacing w:line="240" w:lineRule="auto"/>
      </w:pPr>
      <w:r>
        <w:separator/>
      </w:r>
    </w:p>
  </w:footnote>
  <w:footnote w:type="continuationSeparator" w:id="0">
    <w:p w14:paraId="3E6FBC4C" w14:textId="77777777" w:rsidR="009C6AE0" w:rsidRDefault="009C6AE0">
      <w:pPr>
        <w:spacing w:line="240" w:lineRule="auto"/>
      </w:pPr>
      <w:r>
        <w:continuationSeparator/>
      </w:r>
    </w:p>
  </w:footnote>
  <w:footnote w:id="1">
    <w:p w14:paraId="6556A573" w14:textId="77777777" w:rsidR="0005179D" w:rsidRDefault="00000000">
      <w:pPr>
        <w:spacing w:line="240" w:lineRule="auto"/>
        <w:rPr>
          <w:rFonts w:ascii="Poppins" w:eastAsia="Poppins" w:hAnsi="Poppins" w:cs="Poppins"/>
          <w:sz w:val="20"/>
          <w:szCs w:val="20"/>
        </w:rPr>
      </w:pPr>
      <w:r>
        <w:rPr>
          <w:vertAlign w:val="superscript"/>
        </w:rPr>
        <w:footnoteRef/>
      </w:r>
      <w:r>
        <w:rPr>
          <w:rFonts w:ascii="Poppins" w:eastAsia="Poppins" w:hAnsi="Poppins" w:cs="Poppins"/>
          <w:sz w:val="20"/>
          <w:szCs w:val="20"/>
        </w:rPr>
        <w:t xml:space="preserve"> Includes any travel related expenses,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2EF2B8" w14:textId="77777777" w:rsidR="0005179D" w:rsidRDefault="00000000">
    <w:pPr>
      <w:rPr>
        <w:rFonts w:ascii="Poppins" w:eastAsia="Poppins" w:hAnsi="Poppins" w:cs="Poppins"/>
      </w:rPr>
    </w:pPr>
    <w:r>
      <w:rPr>
        <w:rFonts w:ascii="Poppins" w:eastAsia="Poppins" w:hAnsi="Poppins" w:cs="Poppins"/>
      </w:rPr>
      <w:t>(If you would like, you can add your logo here - any requirements for size, etc)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4E760E"/>
    <w:multiLevelType w:val="multilevel"/>
    <w:tmpl w:val="97BC9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9773EE"/>
    <w:multiLevelType w:val="multilevel"/>
    <w:tmpl w:val="A6E05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8794704">
    <w:abstractNumId w:val="0"/>
  </w:num>
  <w:num w:numId="2" w16cid:durableId="124888526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79D"/>
    <w:rsid w:val="0005179D"/>
    <w:rsid w:val="002444A8"/>
    <w:rsid w:val="00423676"/>
    <w:rsid w:val="009C6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72DB97"/>
  <w15:docId w15:val="{39628A3A-A815-FB44-AE37-CA560ECA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ypearsontraining.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ypearsontraining.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857</Words>
  <Characters>4890</Characters>
  <Application>Microsoft Office Word</Application>
  <DocSecurity>0</DocSecurity>
  <Lines>40</Lines>
  <Paragraphs>11</Paragraphs>
  <ScaleCrop>false</ScaleCrop>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Curry, Marianna</cp:lastModifiedBy>
  <cp:revision>2</cp:revision>
  <dcterms:created xsi:type="dcterms:W3CDTF">2026-06-29T17:51:00Z</dcterms:created>
  <dcterms:modified xsi:type="dcterms:W3CDTF">2026-06-29T17:51:00Z</dcterms:modified>
</cp:coreProperties>
</file>