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Poppins" w:cs="Poppins" w:eastAsia="Poppins" w:hAnsi="Poppins"/>
          <w:b w:val="1"/>
          <w:bCs w:val="1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4"/>
          <w:szCs w:val="24"/>
          <w:rtl w:val="0"/>
        </w:rPr>
        <w:t xml:space="preserve">Sample Scope and Sequence of Professional Learning Engagement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-266699</wp:posOffset>
            </wp:positionH>
            <wp:positionV relativeFrom="paragraph">
              <wp:posOffset>114300</wp:posOffset>
            </wp:positionV>
            <wp:extent cx="2919413" cy="659404"/>
            <wp:effectExtent b="0" l="0" r="0" t="0"/>
            <wp:wrapTopAndBottom distB="114300" distT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19413" cy="6594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 SemiBold" w:cs="Poppins SemiBold" w:eastAsia="Poppins SemiBold" w:hAnsi="Poppins SemiBold"/>
          <w:color w:val="ff0000"/>
          <w:sz w:val="20"/>
          <w:szCs w:val="20"/>
          <w:rtl w:val="0"/>
        </w:rPr>
        <w:t xml:space="preserve">This overview represents the services for one client of the professional learning partner.</w:t>
      </w:r>
      <w:r w:rsidDel="00000000" w:rsidR="00000000" w:rsidRPr="00000000">
        <w:rPr>
          <w:rtl w:val="0"/>
        </w:rPr>
      </w:r>
    </w:p>
    <w:tbl>
      <w:tblPr>
        <w:tblStyle w:val="Table1"/>
        <w:tblW w:w="129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30"/>
        <w:gridCol w:w="3855"/>
        <w:gridCol w:w="1830"/>
        <w:gridCol w:w="3615"/>
        <w:tblGridChange w:id="0">
          <w:tblGrid>
            <w:gridCol w:w="3630"/>
            <w:gridCol w:w="3855"/>
            <w:gridCol w:w="1830"/>
            <w:gridCol w:w="361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Curriculum or Content Area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Benchmark Advance ELA Intervention (K-3) </w:t>
            </w:r>
          </w:p>
        </w:tc>
      </w:tr>
      <w:tr>
        <w:trPr>
          <w:cantSplit w:val="0"/>
          <w:trHeight w:val="550.0000000000002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Type of Professional Learning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Ongoing Implementation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Total Cost Range</w:t>
            </w: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Less than $50,000</w:t>
            </w:r>
          </w:p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$50,000 - $100,000</w:t>
            </w:r>
          </w:p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$100,001 - $500,000</w:t>
            </w:r>
          </w:p>
        </w:tc>
        <w:tc>
          <w:tcPr>
            <w:tcBorders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$500,001 - $1,000,000</w:t>
            </w:r>
          </w:p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$1,000,000+</w:t>
              <w:tab/>
              <w:tab/>
              <w:tab/>
              <w:tab/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District Context</w:t>
            </w:r>
          </w:p>
        </w:tc>
        <w:tc>
          <w:tcPr>
            <w:gridSpan w:val="3"/>
            <w:tcBorders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ind w:left="0" w:firstLine="0"/>
              <w:jc w:val="both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Large urban district 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ind w:left="0" w:firstLine="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Goal: Support schools to shift to instructionally coherent literacy instruction. 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left="0" w:firstLine="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line="240" w:lineRule="auto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Sample Scope and Sequence</w:t>
      </w:r>
    </w:p>
    <w:tbl>
      <w:tblPr>
        <w:tblStyle w:val="Table2"/>
        <w:tblW w:w="131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35"/>
        <w:gridCol w:w="2145"/>
        <w:gridCol w:w="2760"/>
        <w:gridCol w:w="6870"/>
        <w:tblGridChange w:id="0">
          <w:tblGrid>
            <w:gridCol w:w="1335"/>
            <w:gridCol w:w="2145"/>
            <w:gridCol w:w="2760"/>
            <w:gridCol w:w="687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Timing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Participants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Name of PL and format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Description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May-July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District leaders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Designing Instructionally Coherent Intervention Systems </w:t>
            </w:r>
          </w:p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(In-Person)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Facilitate district academic and intervention leaders to design new intervention models, processes, and tools.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School Leadership Teams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Instructional </w:t>
            </w:r>
          </w:p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Coherence 101 </w:t>
            </w:r>
          </w:p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(In-Person)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Build investment &amp; understanding in instructional coherence: what is it and why does it matter for kids?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September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School Leadership Teams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Coherent Intervention Model Launch </w:t>
            </w:r>
          </w:p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(In-Person)</w:t>
            </w:r>
          </w:p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Roll out the new coherent intervention model, process and tools to school teams; support school teams to review diagnostic data, create instructionally coherent student groupings, and identify what to use from the Tier I material to address identified student needs.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October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School Teachers &amp; Interventionists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Using Benchmark Advance Effectively During Intervention</w:t>
            </w:r>
          </w:p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(In-Person)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Support interventionists to understand the design and intention of the Benchmark Advance intervention materials and how to most effectively use them to provide coherent student support.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Bi-weekly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School Leadership Teams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Ongoing Check-ins</w:t>
            </w:r>
          </w:p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(Virtual)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Twice monthly check-ins to support school teams to identify and trouble shoot challenges.</w:t>
            </w:r>
          </w:p>
        </w:tc>
      </w:tr>
    </w:tbl>
    <w:p w:rsidR="00000000" w:rsidDel="00000000" w:rsidP="00000000" w:rsidRDefault="00000000" w:rsidRPr="00000000" w14:paraId="0000003E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 SemiBol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646804" cy="247650"/>
          <wp:effectExtent b="0" l="0" r="0" t="0"/>
          <wp:wrapTopAndBottom distB="114300" distT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6804" cy="2476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41">
      <w:pPr>
        <w:spacing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Includes any travel related expenses, etc.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jc w:val="right"/>
      <w:rPr>
        <w:rFonts w:ascii="Poppins" w:cs="Poppins" w:eastAsia="Poppins" w:hAnsi="Poppins"/>
      </w:rPr>
    </w:pPr>
    <w:r w:rsidDel="00000000" w:rsidR="00000000" w:rsidRPr="00000000">
      <w:rPr>
        <w:rFonts w:ascii="Poppins" w:cs="Poppins" w:eastAsia="Poppins" w:hAnsi="Poppins"/>
      </w:rPr>
      <w:drawing>
        <wp:inline distB="114300" distT="114300" distL="114300" distR="114300">
          <wp:extent cx="1243013" cy="416692"/>
          <wp:effectExtent b="0" l="0" r="0" t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43013" cy="41669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Relationship Id="rId5" Type="http://schemas.openxmlformats.org/officeDocument/2006/relationships/font" Target="fonts/PoppinsSemiBold-regular.ttf"/><Relationship Id="rId6" Type="http://schemas.openxmlformats.org/officeDocument/2006/relationships/font" Target="fonts/PoppinsSemiBold-bold.ttf"/><Relationship Id="rId7" Type="http://schemas.openxmlformats.org/officeDocument/2006/relationships/font" Target="fonts/PoppinsSemiBold-italic.ttf"/><Relationship Id="rId8" Type="http://schemas.openxmlformats.org/officeDocument/2006/relationships/font" Target="fonts/PoppinsSemiBold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